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F3" w:rsidRPr="00F27D78" w:rsidRDefault="00663DAE">
      <w:pPr>
        <w:rPr>
          <w:b/>
        </w:rPr>
      </w:pPr>
      <w:r w:rsidRPr="00F27D78">
        <w:rPr>
          <w:b/>
        </w:rPr>
        <w:t>ACCG Meeting Notes, October 17, 2012</w:t>
      </w:r>
    </w:p>
    <w:p w:rsidR="00663DAE" w:rsidRDefault="00663DAE">
      <w:r>
        <w:t>(Cathy Koos Breazeal, Facilitator)</w:t>
      </w:r>
    </w:p>
    <w:p w:rsidR="00663DAE" w:rsidRDefault="00D82BF2">
      <w:r>
        <w:t>Actions from September:</w:t>
      </w:r>
    </w:p>
    <w:p w:rsidR="00D82BF2" w:rsidRDefault="00D82BF2" w:rsidP="00D82BF2">
      <w:pPr>
        <w:pStyle w:val="ListParagraph"/>
        <w:numPr>
          <w:ilvl w:val="0"/>
          <w:numId w:val="1"/>
        </w:numPr>
        <w:spacing w:line="240" w:lineRule="auto"/>
      </w:pPr>
      <w:r>
        <w:t>Kusel (sp?) document  - can’t release re Dinkey and BHC</w:t>
      </w:r>
    </w:p>
    <w:p w:rsidR="00D82BF2" w:rsidRDefault="00D82BF2" w:rsidP="00D82BF2">
      <w:pPr>
        <w:pStyle w:val="ListParagraph"/>
        <w:numPr>
          <w:ilvl w:val="0"/>
          <w:numId w:val="1"/>
        </w:numPr>
        <w:spacing w:line="240" w:lineRule="auto"/>
      </w:pPr>
      <w:r>
        <w:t>Admin Work Group – outreach – continue discussion</w:t>
      </w:r>
    </w:p>
    <w:p w:rsidR="00D82BF2" w:rsidRDefault="00D82BF2" w:rsidP="00D82BF2">
      <w:pPr>
        <w:pStyle w:val="ListParagraph"/>
        <w:spacing w:line="240" w:lineRule="auto"/>
        <w:ind w:left="0"/>
      </w:pPr>
    </w:p>
    <w:p w:rsidR="00D82BF2" w:rsidRDefault="00D82BF2" w:rsidP="00D82BF2">
      <w:pPr>
        <w:pStyle w:val="ListParagraph"/>
        <w:spacing w:line="240" w:lineRule="auto"/>
        <w:ind w:left="0"/>
      </w:pPr>
      <w:r>
        <w:t>FINANCE WORK GROUP – next month in kind – we will hand out in-kind forms  ** make sure to send with agenda</w:t>
      </w:r>
    </w:p>
    <w:p w:rsidR="00D82BF2" w:rsidRDefault="00D82BF2" w:rsidP="00D82BF2">
      <w:pPr>
        <w:pStyle w:val="ListParagraph"/>
        <w:spacing w:line="240" w:lineRule="auto"/>
        <w:ind w:left="0"/>
      </w:pPr>
    </w:p>
    <w:p w:rsidR="00D82BF2" w:rsidRDefault="00D82BF2" w:rsidP="00D82BF2">
      <w:pPr>
        <w:pStyle w:val="ListParagraph"/>
        <w:spacing w:line="240" w:lineRule="auto"/>
        <w:ind w:left="0"/>
      </w:pPr>
      <w:r>
        <w:t>ADMIN WORK GROUP– admin group met by phone, did agenda.  Need more time for community relations proposal and discussed in-kind</w:t>
      </w:r>
    </w:p>
    <w:p w:rsidR="00D82BF2" w:rsidRDefault="00D82BF2" w:rsidP="00D82BF2">
      <w:pPr>
        <w:pStyle w:val="ListParagraph"/>
        <w:spacing w:line="240" w:lineRule="auto"/>
        <w:ind w:left="0"/>
      </w:pPr>
    </w:p>
    <w:p w:rsidR="00151115" w:rsidRDefault="00D82BF2" w:rsidP="00D82BF2">
      <w:pPr>
        <w:pStyle w:val="ListParagraph"/>
        <w:spacing w:line="240" w:lineRule="auto"/>
        <w:ind w:left="0"/>
      </w:pPr>
      <w:r>
        <w:t xml:space="preserve">KENDAL </w:t>
      </w:r>
      <w:r w:rsidR="00F27D78">
        <w:t>–</w:t>
      </w:r>
      <w:r>
        <w:t xml:space="preserve"> </w:t>
      </w:r>
      <w:r w:rsidR="00F27D78">
        <w:t>Planning group met 9/20 with Calaveras Thin Team</w:t>
      </w:r>
      <w:r w:rsidR="00151115">
        <w:t>; field trip set for 1/5. Next mtg 11/24 Room C, 9 a.m. (county building)  send agenda Friday/ trails and annual rpt</w:t>
      </w:r>
    </w:p>
    <w:p w:rsidR="00151115" w:rsidRDefault="00151115" w:rsidP="00D82BF2">
      <w:pPr>
        <w:pStyle w:val="ListParagraph"/>
        <w:spacing w:line="240" w:lineRule="auto"/>
        <w:ind w:left="0"/>
      </w:pPr>
    </w:p>
    <w:p w:rsidR="00151115" w:rsidRDefault="00151115" w:rsidP="00D82BF2">
      <w:pPr>
        <w:pStyle w:val="ListParagraph"/>
        <w:spacing w:line="240" w:lineRule="auto"/>
        <w:ind w:left="0"/>
      </w:pPr>
      <w:r>
        <w:t>KENDAL – Monitoring group met 10/16.  Develop monitoring</w:t>
      </w:r>
      <w:r w:rsidR="00F27D78">
        <w:t xml:space="preserve"> </w:t>
      </w:r>
      <w:r>
        <w:t>indicator.  Dinkey – convert theirs to Cornerstone model.  Need some resource specialists pulled in with fuels and aquatic.  Meet 11/1 9 a.m. SO office in P-ville.   Webinar remote sensing same date 11-1300</w:t>
      </w:r>
    </w:p>
    <w:p w:rsidR="00151115" w:rsidRDefault="00151115" w:rsidP="00D82BF2">
      <w:pPr>
        <w:pStyle w:val="ListParagraph"/>
        <w:spacing w:line="240" w:lineRule="auto"/>
        <w:ind w:left="0"/>
      </w:pPr>
    </w:p>
    <w:p w:rsidR="00151115" w:rsidRDefault="00151115" w:rsidP="00D82BF2">
      <w:pPr>
        <w:pStyle w:val="ListParagraph"/>
        <w:spacing w:line="240" w:lineRule="auto"/>
        <w:ind w:left="0"/>
      </w:pPr>
      <w:r>
        <w:t>HOFMANN – field trip to Callecat compare to West Cala Thin.  Looking to expand at planning stages, buffer areas, rehand or de-con roads; ad economic value to environmentals.  Callecat – looked at controversial areas.  Trout Unlimited came to express concerns.</w:t>
      </w:r>
    </w:p>
    <w:p w:rsidR="00151115" w:rsidRDefault="00151115" w:rsidP="00D82BF2">
      <w:pPr>
        <w:pStyle w:val="ListParagraph"/>
        <w:spacing w:line="240" w:lineRule="auto"/>
        <w:ind w:left="0"/>
      </w:pPr>
    </w:p>
    <w:p w:rsidR="00151115" w:rsidRDefault="00151115" w:rsidP="00D82BF2">
      <w:pPr>
        <w:pStyle w:val="ListParagraph"/>
        <w:spacing w:line="240" w:lineRule="auto"/>
        <w:ind w:left="0"/>
      </w:pPr>
      <w:r>
        <w:t>OPS – BRAY &amp; HEISSENBUTTEL – nothing to rpt</w:t>
      </w:r>
    </w:p>
    <w:p w:rsidR="00151115" w:rsidRDefault="00151115" w:rsidP="00D82BF2">
      <w:pPr>
        <w:pStyle w:val="ListParagraph"/>
        <w:spacing w:line="240" w:lineRule="auto"/>
        <w:ind w:left="0"/>
      </w:pPr>
    </w:p>
    <w:p w:rsidR="00151115" w:rsidRDefault="00151115" w:rsidP="00D82BF2">
      <w:pPr>
        <w:pStyle w:val="ListParagraph"/>
        <w:spacing w:line="240" w:lineRule="auto"/>
        <w:ind w:left="0"/>
      </w:pPr>
      <w:r>
        <w:t xml:space="preserve">BREEZE MARTIN – MSA DISCUSSION </w:t>
      </w:r>
    </w:p>
    <w:p w:rsidR="00151115" w:rsidRDefault="00151115" w:rsidP="00D82BF2">
      <w:pPr>
        <w:pStyle w:val="ListParagraph"/>
        <w:spacing w:line="240" w:lineRule="auto"/>
        <w:ind w:left="0"/>
      </w:pPr>
      <w:r>
        <w:t>Inform work groups; vision; preamble established</w:t>
      </w:r>
    </w:p>
    <w:p w:rsidR="00151115" w:rsidRDefault="00151115" w:rsidP="00D82BF2">
      <w:pPr>
        <w:pStyle w:val="ListParagraph"/>
        <w:spacing w:line="240" w:lineRule="auto"/>
        <w:ind w:left="0"/>
      </w:pPr>
      <w:r>
        <w:t>MSA Team:  Breeze-Martin, Koos Breazeal, Evatt, Haigh, Thomas, Hofmann, Young, McClung, Hopson’s team.</w:t>
      </w:r>
    </w:p>
    <w:p w:rsidR="00151115" w:rsidRDefault="004716BC" w:rsidP="00D82BF2">
      <w:pPr>
        <w:pStyle w:val="ListParagraph"/>
        <w:spacing w:line="240" w:lineRule="auto"/>
        <w:ind w:left="0"/>
      </w:pPr>
      <w:r>
        <w:t xml:space="preserve">AUBRN MTG - </w:t>
      </w:r>
      <w:r w:rsidR="00151115">
        <w:t>SNC engaged Austin McInerny (sp?) of Center for Collab Policy.  Kendal do agenda.</w:t>
      </w:r>
    </w:p>
    <w:p w:rsidR="004716BC" w:rsidRDefault="004716BC" w:rsidP="00D82BF2">
      <w:pPr>
        <w:pStyle w:val="ListParagraph"/>
        <w:spacing w:line="240" w:lineRule="auto"/>
        <w:ind w:left="0"/>
      </w:pPr>
      <w:r>
        <w:t>WILENSKY – add 1 rep/observer from Dinkey and  BHC, and add Heissenbuttel, CIMC, and Mother Lode jobs.</w:t>
      </w:r>
    </w:p>
    <w:p w:rsidR="004716BC" w:rsidRDefault="004716BC" w:rsidP="00D82BF2">
      <w:pPr>
        <w:pStyle w:val="ListParagraph"/>
        <w:spacing w:line="240" w:lineRule="auto"/>
        <w:ind w:left="0"/>
      </w:pPr>
    </w:p>
    <w:p w:rsidR="004716BC" w:rsidRDefault="004716BC" w:rsidP="00D82BF2">
      <w:pPr>
        <w:pStyle w:val="ListParagraph"/>
        <w:spacing w:line="240" w:lineRule="auto"/>
        <w:ind w:left="0"/>
      </w:pPr>
      <w:r>
        <w:t>RB-M LED DISCUSSION – WHAT DOES COLLABORATION LOOK LIKE?</w:t>
      </w:r>
    </w:p>
    <w:p w:rsidR="004716BC" w:rsidRDefault="004716BC" w:rsidP="00D82BF2">
      <w:pPr>
        <w:pStyle w:val="ListParagraph"/>
        <w:spacing w:line="240" w:lineRule="auto"/>
        <w:ind w:left="0"/>
      </w:pPr>
      <w:r>
        <w:t>Koos-Breazeal – need institutional shift; maintain our guiding principles;  ACCG must maintain partnership, not relegated to advisory role.</w:t>
      </w:r>
    </w:p>
    <w:p w:rsidR="004716BC" w:rsidRDefault="004716BC" w:rsidP="00D82BF2">
      <w:pPr>
        <w:pStyle w:val="ListParagraph"/>
        <w:spacing w:line="240" w:lineRule="auto"/>
        <w:ind w:left="0"/>
      </w:pPr>
      <w:r>
        <w:t>WILENSKY – leadership intent; balance 3x bottom line; ACCG plays role to greatest extent possible; now faced with federal contract process; many avenues to reach or fail.</w:t>
      </w:r>
    </w:p>
    <w:p w:rsidR="004716BC" w:rsidRDefault="004716BC" w:rsidP="00D82BF2">
      <w:pPr>
        <w:pStyle w:val="ListParagraph"/>
        <w:spacing w:line="240" w:lineRule="auto"/>
        <w:ind w:left="0"/>
      </w:pPr>
      <w:r>
        <w:t>HEISSENBUTTEL – what is outside jurisdictional domain?</w:t>
      </w:r>
    </w:p>
    <w:p w:rsidR="004716BC" w:rsidRDefault="004716BC" w:rsidP="00D82BF2">
      <w:pPr>
        <w:pStyle w:val="ListParagraph"/>
        <w:spacing w:line="240" w:lineRule="auto"/>
        <w:ind w:left="0"/>
      </w:pPr>
      <w:r>
        <w:t>WILENSKY – partner  if SNC does not trigger CEQA, etc.  if not, then develop another partner.</w:t>
      </w:r>
    </w:p>
    <w:p w:rsidR="004716BC" w:rsidRDefault="004716BC" w:rsidP="00D82BF2">
      <w:pPr>
        <w:pStyle w:val="ListParagraph"/>
        <w:spacing w:line="240" w:lineRule="auto"/>
        <w:ind w:left="0"/>
      </w:pPr>
      <w:r>
        <w:t>HOFMANN – preamble.   Is msa the correct tool?  Do we make everything fit the tool?  Is MSA necessary?  Do we need formal process or are we good with what we already have signed?</w:t>
      </w:r>
    </w:p>
    <w:p w:rsidR="004716BC" w:rsidRDefault="004716BC" w:rsidP="00D82BF2">
      <w:pPr>
        <w:pStyle w:val="ListParagraph"/>
        <w:spacing w:line="240" w:lineRule="auto"/>
        <w:ind w:left="0"/>
      </w:pPr>
      <w:r>
        <w:t>RB-M – preamble developed by Doris, brought back to accg to review/sign.  Preamble to frame only, not mechanics.</w:t>
      </w:r>
    </w:p>
    <w:p w:rsidR="004716BC" w:rsidRDefault="004716BC" w:rsidP="00D82BF2">
      <w:pPr>
        <w:pStyle w:val="ListParagraph"/>
        <w:spacing w:line="240" w:lineRule="auto"/>
        <w:ind w:left="0"/>
      </w:pPr>
      <w:r>
        <w:t xml:space="preserve">KIM CARR – SNC -- there are ways CEQA not triggered.  </w:t>
      </w:r>
      <w:r w:rsidR="00FE14D3">
        <w:t>SNC funding dwindling</w:t>
      </w:r>
    </w:p>
    <w:p w:rsidR="004716BC" w:rsidRDefault="004716BC" w:rsidP="00D82BF2">
      <w:pPr>
        <w:pStyle w:val="ListParagraph"/>
        <w:spacing w:line="240" w:lineRule="auto"/>
        <w:ind w:left="0"/>
      </w:pPr>
      <w:r>
        <w:lastRenderedPageBreak/>
        <w:t>WILENSKY – not contracting agency but facilitator</w:t>
      </w:r>
    </w:p>
    <w:p w:rsidR="004716BC" w:rsidRDefault="004716BC" w:rsidP="00D82BF2">
      <w:pPr>
        <w:pStyle w:val="ListParagraph"/>
        <w:spacing w:line="240" w:lineRule="auto"/>
        <w:ind w:left="0"/>
      </w:pPr>
      <w:r>
        <w:t xml:space="preserve">BRAY – SNC lead agency?  </w:t>
      </w:r>
      <w:r w:rsidR="00FE14D3">
        <w:t>AFSC can be lead</w:t>
      </w:r>
    </w:p>
    <w:p w:rsidR="00FE14D3" w:rsidRDefault="00FE14D3" w:rsidP="00D82BF2">
      <w:pPr>
        <w:pStyle w:val="ListParagraph"/>
        <w:spacing w:line="240" w:lineRule="auto"/>
        <w:ind w:left="0"/>
      </w:pPr>
      <w:r>
        <w:t>WILENSKY – AFSC not know in Plumas County.  SNC be facilitator partner</w:t>
      </w:r>
    </w:p>
    <w:p w:rsidR="00FE14D3" w:rsidRDefault="00FE14D3" w:rsidP="00D82BF2">
      <w:pPr>
        <w:pStyle w:val="ListParagraph"/>
        <w:spacing w:line="240" w:lineRule="auto"/>
        <w:ind w:left="0"/>
      </w:pPr>
      <w:r>
        <w:t>HEISSENBUTTEL – Nature Conservancy may be safest pick</w:t>
      </w:r>
    </w:p>
    <w:p w:rsidR="00FE14D3" w:rsidRDefault="00FE14D3" w:rsidP="00D82BF2">
      <w:pPr>
        <w:pStyle w:val="ListParagraph"/>
        <w:spacing w:line="240" w:lineRule="auto"/>
        <w:ind w:left="0"/>
      </w:pPr>
      <w:r>
        <w:t xml:space="preserve">KENDAL – many questions within FS too.  </w:t>
      </w:r>
    </w:p>
    <w:p w:rsidR="00FE14D3" w:rsidRDefault="00FE14D3" w:rsidP="00D82BF2">
      <w:pPr>
        <w:pStyle w:val="ListParagraph"/>
        <w:spacing w:line="240" w:lineRule="auto"/>
        <w:ind w:left="0"/>
      </w:pPr>
      <w:r>
        <w:t xml:space="preserve">KOOS-BREAZEAL – AFSC has local presence, reputation, funding also dwindling.  </w:t>
      </w:r>
    </w:p>
    <w:p w:rsidR="00FE14D3" w:rsidRDefault="00FE14D3" w:rsidP="00D82BF2">
      <w:pPr>
        <w:pStyle w:val="ListParagraph"/>
        <w:spacing w:line="240" w:lineRule="auto"/>
        <w:ind w:left="0"/>
      </w:pPr>
      <w:r>
        <w:t>RB-M – cooperating agency gets admin fees</w:t>
      </w:r>
    </w:p>
    <w:p w:rsidR="00FE14D3" w:rsidRDefault="00FE14D3" w:rsidP="00D82BF2">
      <w:pPr>
        <w:pStyle w:val="ListParagraph"/>
        <w:spacing w:line="240" w:lineRule="auto"/>
        <w:ind w:left="0"/>
      </w:pPr>
      <w:r>
        <w:t>HOFMANN -  portability of funds?  What is duty of cooperator?</w:t>
      </w:r>
    </w:p>
    <w:p w:rsidR="00FE14D3" w:rsidRDefault="00FE14D3" w:rsidP="00D82BF2">
      <w:pPr>
        <w:pStyle w:val="ListParagraph"/>
        <w:spacing w:line="240" w:lineRule="auto"/>
        <w:ind w:left="0"/>
      </w:pPr>
      <w:r>
        <w:t>KENDAL – keep options open.  Maybe multiple cooperators.</w:t>
      </w:r>
    </w:p>
    <w:p w:rsidR="00FE14D3" w:rsidRDefault="00FE14D3" w:rsidP="00D82BF2">
      <w:pPr>
        <w:pStyle w:val="ListParagraph"/>
        <w:spacing w:line="240" w:lineRule="auto"/>
        <w:ind w:left="0"/>
      </w:pPr>
      <w:r>
        <w:t>RB-M – separate planning from monitoring</w:t>
      </w:r>
    </w:p>
    <w:p w:rsidR="00FE14D3" w:rsidRDefault="00FE14D3" w:rsidP="00D82BF2">
      <w:pPr>
        <w:pStyle w:val="ListParagraph"/>
        <w:spacing w:line="240" w:lineRule="auto"/>
        <w:ind w:left="0"/>
      </w:pPr>
      <w:r>
        <w:t>WILENSKY – summarize:  4 goals in preamble  1.  Max role and relation of accg with FS.  2 max portability admin, planning, exec, monitoring.   3.  Consistenw tih all lands, 3x bottom line;    4.  Vehicle chosen allows most work to be done.   Have selection process for cooperator.</w:t>
      </w:r>
    </w:p>
    <w:p w:rsidR="00FE14D3" w:rsidRDefault="00FE14D3" w:rsidP="00D82BF2">
      <w:pPr>
        <w:pStyle w:val="ListParagraph"/>
        <w:spacing w:line="240" w:lineRule="auto"/>
        <w:ind w:left="0"/>
      </w:pPr>
    </w:p>
    <w:p w:rsidR="00FE14D3" w:rsidRDefault="00FE14D3" w:rsidP="00D82BF2">
      <w:pPr>
        <w:pStyle w:val="ListParagraph"/>
        <w:spacing w:line="240" w:lineRule="auto"/>
        <w:ind w:left="0"/>
      </w:pPr>
    </w:p>
    <w:p w:rsidR="00FE14D3" w:rsidRDefault="00FE14D3" w:rsidP="00D82BF2">
      <w:pPr>
        <w:pStyle w:val="ListParagraph"/>
        <w:spacing w:line="240" w:lineRule="auto"/>
        <w:ind w:left="0"/>
      </w:pPr>
      <w:r>
        <w:t>SCALE – WILENSKY – 2 mtgs with Deb Whitehall (sp?)   FS review rules and planning draft.  Unsatisfactory.  Kusel and Wilensky met with Deb; 2 page summary coming late Oct.  Establish baseline CFLR projects.  Potential SCALE meeting for us, Dinkey, BHC.  Dinkey needs social element.</w:t>
      </w:r>
    </w:p>
    <w:p w:rsidR="00D82BF2" w:rsidRDefault="00FE14D3" w:rsidP="00FE14D3">
      <w:pPr>
        <w:pStyle w:val="ListParagraph"/>
        <w:spacing w:line="240" w:lineRule="auto"/>
        <w:ind w:left="0"/>
      </w:pPr>
      <w:r>
        <w:t>Selected 15 elements for social and community impacts.  Assist frm Pub Health, SD &amp; First 5 each county.  1</w:t>
      </w:r>
      <w:r w:rsidRPr="00FE14D3">
        <w:rPr>
          <w:vertAlign w:val="superscript"/>
        </w:rPr>
        <w:t>st</w:t>
      </w:r>
      <w:r>
        <w:t xml:space="preserve"> tier:  Define median income, unempl, free lunches, new jobs created.  2</w:t>
      </w:r>
      <w:r w:rsidRPr="00FE14D3">
        <w:rPr>
          <w:vertAlign w:val="superscript"/>
        </w:rPr>
        <w:t>nd</w:t>
      </w:r>
      <w:r>
        <w:t xml:space="preserve"> tier – foreclosures, sale,s property tax, occupany rates, children, alcohol rates, drug, diabetes, healthcare coverage (i.e. vaccines, low birth rates, morbidity, mortality).  Mental health – subs abuse, suicide, food bank, stamps, meals wheels, gen’l assist.  Crime, education</w:t>
      </w:r>
      <w:r w:rsidR="00663908">
        <w:t>.</w:t>
      </w: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Pr="00663908" w:rsidRDefault="00663908" w:rsidP="00FE14D3">
      <w:pPr>
        <w:pStyle w:val="ListParagraph"/>
        <w:spacing w:line="240" w:lineRule="auto"/>
        <w:ind w:left="0"/>
        <w:rPr>
          <w:color w:val="000000" w:themeColor="text1"/>
          <w:highlight w:val="yellow"/>
        </w:rPr>
      </w:pPr>
      <w:r w:rsidRPr="00663908">
        <w:rPr>
          <w:color w:val="000000" w:themeColor="text1"/>
          <w:highlight w:val="yellow"/>
        </w:rPr>
        <w:t xml:space="preserve">ACTION ITEM: </w:t>
      </w:r>
    </w:p>
    <w:p w:rsidR="00663908" w:rsidRDefault="00663908" w:rsidP="00FE14D3">
      <w:pPr>
        <w:pStyle w:val="ListParagraph"/>
        <w:spacing w:line="240" w:lineRule="auto"/>
        <w:ind w:left="0"/>
      </w:pPr>
      <w:r w:rsidRPr="00663908">
        <w:rPr>
          <w:highlight w:val="yellow"/>
        </w:rPr>
        <w:t>HOFMANN – How does public feel about how we manage forest – track over time</w:t>
      </w: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Default="00663908" w:rsidP="00FE14D3">
      <w:pPr>
        <w:pStyle w:val="ListParagraph"/>
        <w:spacing w:line="240" w:lineRule="auto"/>
        <w:ind w:left="0"/>
      </w:pPr>
      <w:r w:rsidRPr="00663908">
        <w:rPr>
          <w:highlight w:val="yellow"/>
        </w:rPr>
        <w:t>VI.  HEISSENBUTTEL – coalition through NFF, webinars 11/1 and 11/9.  Coalition has asked collaborators to discuss 12 questions  -- AGENDA FOR NOVEMBER MEETING</w:t>
      </w: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Default="00663908" w:rsidP="00FE14D3">
      <w:pPr>
        <w:pStyle w:val="ListParagraph"/>
        <w:spacing w:line="240" w:lineRule="auto"/>
        <w:ind w:left="0"/>
      </w:pPr>
      <w:r>
        <w:t>VII.  No updates FS budget relative to CFLRA.  Continuing resolution likely.</w:t>
      </w: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Default="00663908" w:rsidP="00FE14D3">
      <w:pPr>
        <w:pStyle w:val="ListParagraph"/>
        <w:spacing w:line="240" w:lineRule="auto"/>
        <w:ind w:left="0"/>
      </w:pPr>
      <w:r>
        <w:t>VIII  KIM CARR – MOKE ENVIR BENEFITS INITIATIVE</w:t>
      </w:r>
    </w:p>
    <w:p w:rsidR="00663908" w:rsidRDefault="00663908" w:rsidP="00FE14D3">
      <w:pPr>
        <w:pStyle w:val="ListParagraph"/>
        <w:spacing w:line="240" w:lineRule="auto"/>
        <w:ind w:left="0"/>
      </w:pPr>
      <w:r>
        <w:t>Watershed scale, similar collab in valley; measure benefits and monetize.  Look for new investors; avoided cost analy (reduce fire by reduce fuels).  PG&amp;E named party two weeks ago, so will have to pay out $ to FS &amp; SPI.  (Power fire?)   Tiger Creek afterbay has significant sediment.</w:t>
      </w: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Default="00663908" w:rsidP="00FE14D3">
      <w:pPr>
        <w:pStyle w:val="ListParagraph"/>
        <w:spacing w:line="240" w:lineRule="auto"/>
        <w:ind w:left="0"/>
      </w:pPr>
      <w:r>
        <w:t>WILENSKY – Coke = cold call.  $350K donated to Indian Valley Meadow restoration.  Clorox potential.  Addressing large water users.</w:t>
      </w: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Default="00663908" w:rsidP="00FE14D3">
      <w:pPr>
        <w:pStyle w:val="ListParagraph"/>
        <w:spacing w:line="240" w:lineRule="auto"/>
        <w:ind w:left="0"/>
      </w:pPr>
      <w:r>
        <w:t>RB-M – fire is nexus.  CA told insurance companies they have to reinvest some of their premiums back into the communities.</w:t>
      </w: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Default="00663908" w:rsidP="00FE14D3">
      <w:pPr>
        <w:pStyle w:val="ListParagraph"/>
        <w:spacing w:line="240" w:lineRule="auto"/>
        <w:ind w:left="0"/>
      </w:pPr>
      <w:r>
        <w:t>SB1122 KIM CARR FOR TAD MASON</w:t>
      </w:r>
    </w:p>
    <w:p w:rsidR="00663908" w:rsidRDefault="00663908" w:rsidP="00FE14D3">
      <w:pPr>
        <w:pStyle w:val="ListParagraph"/>
        <w:spacing w:line="240" w:lineRule="auto"/>
        <w:ind w:left="0"/>
      </w:pPr>
      <w:r>
        <w:lastRenderedPageBreak/>
        <w:t>Use forest biomass to create energy; forest mass specified.  SNC on hook to implement – site and build small scale facilities.  Calfire – sustainable harvest guidelines.  2 projects – North Fork 1-2 mgw – 2014; Placer county near Truckee – 2 mgw – 2014.</w:t>
      </w:r>
    </w:p>
    <w:p w:rsidR="00663908" w:rsidRDefault="00663908" w:rsidP="00FE14D3">
      <w:pPr>
        <w:pStyle w:val="ListParagraph"/>
        <w:spacing w:line="240" w:lineRule="auto"/>
        <w:ind w:left="0"/>
      </w:pPr>
      <w:r>
        <w:t xml:space="preserve">1122 requires invest owned utilities PGE &amp; Edison. </w:t>
      </w:r>
    </w:p>
    <w:p w:rsidR="00663908" w:rsidRDefault="00663908" w:rsidP="00FE14D3">
      <w:pPr>
        <w:pStyle w:val="ListParagraph"/>
        <w:spacing w:line="240" w:lineRule="auto"/>
        <w:ind w:left="0"/>
      </w:pPr>
    </w:p>
    <w:p w:rsidR="00663908" w:rsidRDefault="00663908" w:rsidP="00FE14D3">
      <w:pPr>
        <w:pStyle w:val="ListParagraph"/>
        <w:spacing w:line="240" w:lineRule="auto"/>
        <w:ind w:left="0"/>
      </w:pPr>
      <w:r>
        <w:t>UPDATES</w:t>
      </w:r>
    </w:p>
    <w:p w:rsidR="00663908" w:rsidRDefault="00663908" w:rsidP="00FE14D3">
      <w:pPr>
        <w:pStyle w:val="ListParagraph"/>
        <w:spacing w:line="240" w:lineRule="auto"/>
        <w:ind w:left="0"/>
      </w:pPr>
      <w:r>
        <w:t>KENDAL – Teresa back 10/30.  Bailey awarded for shred.  Kendal CFLR coordinator</w:t>
      </w:r>
      <w:r w:rsidR="00C70768">
        <w:t>.</w:t>
      </w:r>
    </w:p>
    <w:p w:rsidR="00C70768" w:rsidRDefault="00C70768" w:rsidP="00FE14D3">
      <w:pPr>
        <w:pStyle w:val="ListParagraph"/>
        <w:spacing w:line="240" w:lineRule="auto"/>
        <w:ind w:left="0"/>
      </w:pPr>
    </w:p>
    <w:p w:rsidR="00C70768" w:rsidRPr="00C70768" w:rsidRDefault="00C70768" w:rsidP="00FE14D3">
      <w:pPr>
        <w:pStyle w:val="ListParagraph"/>
        <w:spacing w:line="240" w:lineRule="auto"/>
        <w:ind w:left="0"/>
        <w:rPr>
          <w:highlight w:val="yellow"/>
        </w:rPr>
      </w:pPr>
      <w:r w:rsidRPr="00C70768">
        <w:rPr>
          <w:highlight w:val="yellow"/>
        </w:rPr>
        <w:t>ACTION ITEM</w:t>
      </w:r>
    </w:p>
    <w:p w:rsidR="00C70768" w:rsidRDefault="00C70768" w:rsidP="00FE14D3">
      <w:pPr>
        <w:pStyle w:val="ListParagraph"/>
        <w:spacing w:line="240" w:lineRule="auto"/>
        <w:ind w:left="0"/>
      </w:pPr>
      <w:r w:rsidRPr="00C70768">
        <w:rPr>
          <w:highlight w:val="yellow"/>
        </w:rPr>
        <w:t>TATE – 9 piles ready to review on Shake Ridge.  Late Oct/early Nov.</w:t>
      </w:r>
    </w:p>
    <w:p w:rsidR="00C70768" w:rsidRDefault="00C70768" w:rsidP="00FE14D3">
      <w:pPr>
        <w:pStyle w:val="ListParagraph"/>
        <w:spacing w:line="240" w:lineRule="auto"/>
        <w:ind w:left="0"/>
      </w:pPr>
    </w:p>
    <w:p w:rsidR="00C70768" w:rsidRDefault="00E011AB" w:rsidP="00FE14D3">
      <w:pPr>
        <w:pStyle w:val="ListParagraph"/>
        <w:spacing w:line="240" w:lineRule="auto"/>
        <w:ind w:left="0"/>
      </w:pPr>
      <w:r>
        <w:t>##</w:t>
      </w:r>
      <w:bookmarkStart w:id="0" w:name="_GoBack"/>
      <w:bookmarkEnd w:id="0"/>
    </w:p>
    <w:sectPr w:rsidR="00C7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636"/>
    <w:multiLevelType w:val="hybridMultilevel"/>
    <w:tmpl w:val="424E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AE"/>
    <w:rsid w:val="00151115"/>
    <w:rsid w:val="004716BC"/>
    <w:rsid w:val="00663908"/>
    <w:rsid w:val="00663DAE"/>
    <w:rsid w:val="00705EF3"/>
    <w:rsid w:val="00C70768"/>
    <w:rsid w:val="00D82BF2"/>
    <w:rsid w:val="00E011AB"/>
    <w:rsid w:val="00F27D78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2012-11-29T21:40:00Z</dcterms:created>
  <dcterms:modified xsi:type="dcterms:W3CDTF">2012-11-29T22:53:00Z</dcterms:modified>
</cp:coreProperties>
</file>