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7B2A81" w:rsidP="00FA3FD8">
      <w:pPr>
        <w:pStyle w:val="NoSpacing"/>
        <w:jc w:val="center"/>
        <w:rPr>
          <w:b/>
          <w:sz w:val="36"/>
          <w:szCs w:val="40"/>
        </w:rPr>
      </w:pPr>
      <w:r>
        <w:rPr>
          <w:b/>
          <w:sz w:val="36"/>
          <w:szCs w:val="40"/>
        </w:rPr>
        <w:t xml:space="preserve">December 5, 2012 </w:t>
      </w:r>
      <w:r w:rsidR="00932EDC" w:rsidRPr="00555A6D">
        <w:rPr>
          <w:b/>
          <w:sz w:val="36"/>
          <w:szCs w:val="40"/>
        </w:rPr>
        <w:t xml:space="preserve">Meeting </w:t>
      </w:r>
      <w:r>
        <w:rPr>
          <w:b/>
          <w:sz w:val="36"/>
          <w:szCs w:val="40"/>
        </w:rPr>
        <w:t>Notes (Draft)</w:t>
      </w:r>
    </w:p>
    <w:p w:rsidR="00932EDC" w:rsidRPr="00555A6D" w:rsidRDefault="00932EDC" w:rsidP="00932EDC">
      <w:pPr>
        <w:pStyle w:val="NoSpacing"/>
        <w:jc w:val="center"/>
        <w:rPr>
          <w:sz w:val="14"/>
          <w:szCs w:val="16"/>
        </w:rPr>
      </w:pPr>
    </w:p>
    <w:p w:rsidR="00141B17" w:rsidRPr="00555A6D" w:rsidRDefault="00141B17" w:rsidP="00932EDC">
      <w:pPr>
        <w:pStyle w:val="NoSpacing"/>
        <w:jc w:val="center"/>
        <w:rPr>
          <w:szCs w:val="28"/>
        </w:rPr>
      </w:pPr>
    </w:p>
    <w:p w:rsidR="00B433FF" w:rsidRPr="00366BCC" w:rsidRDefault="00360108" w:rsidP="00313530">
      <w:pPr>
        <w:pStyle w:val="NoSpacing"/>
        <w:jc w:val="center"/>
        <w:rPr>
          <w:b/>
          <w:szCs w:val="28"/>
        </w:rPr>
      </w:pPr>
      <w:r w:rsidRPr="00366BCC">
        <w:rPr>
          <w:b/>
          <w:szCs w:val="28"/>
        </w:rPr>
        <w:t>Meeti</w:t>
      </w:r>
      <w:r w:rsidR="00A81D8B" w:rsidRPr="00366BCC">
        <w:rPr>
          <w:b/>
          <w:szCs w:val="28"/>
        </w:rPr>
        <w:t>ng Facilitator:</w:t>
      </w:r>
      <w:r w:rsidR="009D7AFB" w:rsidRPr="00366BCC">
        <w:rPr>
          <w:b/>
          <w:szCs w:val="28"/>
        </w:rPr>
        <w:t xml:space="preserve"> </w:t>
      </w:r>
      <w:r w:rsidR="007B2A81" w:rsidRPr="00366BCC">
        <w:rPr>
          <w:b/>
          <w:szCs w:val="28"/>
        </w:rPr>
        <w:t>John Hofmann</w:t>
      </w:r>
    </w:p>
    <w:p w:rsidR="00313530" w:rsidRPr="00B433FF" w:rsidRDefault="00313530" w:rsidP="00313530">
      <w:pPr>
        <w:pStyle w:val="NoSpacing"/>
        <w:jc w:val="center"/>
        <w:rPr>
          <w:sz w:val="16"/>
          <w:szCs w:val="16"/>
        </w:rPr>
      </w:pPr>
    </w:p>
    <w:tbl>
      <w:tblPr>
        <w:tblStyle w:val="TableGrid"/>
        <w:tblW w:w="10458" w:type="dxa"/>
        <w:tblLook w:val="04A0"/>
      </w:tblPr>
      <w:tblGrid>
        <w:gridCol w:w="730"/>
        <w:gridCol w:w="9728"/>
      </w:tblGrid>
      <w:tr w:rsidR="007B2A81" w:rsidRPr="00C50E8B" w:rsidTr="00951318">
        <w:trPr>
          <w:tblHeader/>
        </w:trPr>
        <w:tc>
          <w:tcPr>
            <w:tcW w:w="730" w:type="dxa"/>
          </w:tcPr>
          <w:p w:rsidR="007B2A81" w:rsidRPr="00C50E8B" w:rsidRDefault="007B2A81" w:rsidP="00C30B71">
            <w:pPr>
              <w:pStyle w:val="NoSpacing"/>
              <w:rPr>
                <w:b/>
                <w:u w:val="single"/>
              </w:rPr>
            </w:pPr>
            <w:r w:rsidRPr="00C50E8B">
              <w:rPr>
                <w:b/>
                <w:u w:val="single"/>
              </w:rPr>
              <w:t>No.</w:t>
            </w:r>
          </w:p>
        </w:tc>
        <w:tc>
          <w:tcPr>
            <w:tcW w:w="9728" w:type="dxa"/>
          </w:tcPr>
          <w:p w:rsidR="007B2A81" w:rsidRPr="00C50E8B" w:rsidRDefault="007B2A81" w:rsidP="00C30B71">
            <w:pPr>
              <w:pStyle w:val="NoSpacing"/>
              <w:rPr>
                <w:b/>
                <w:u w:val="single"/>
              </w:rPr>
            </w:pPr>
            <w:r w:rsidRPr="00C50E8B">
              <w:rPr>
                <w:b/>
                <w:u w:val="single"/>
              </w:rPr>
              <w:t>Agenda Item</w:t>
            </w:r>
          </w:p>
        </w:tc>
      </w:tr>
      <w:tr w:rsidR="007B2A81" w:rsidRPr="00EE0F28" w:rsidTr="00951318">
        <w:tc>
          <w:tcPr>
            <w:tcW w:w="730" w:type="dxa"/>
          </w:tcPr>
          <w:p w:rsidR="007B2A81" w:rsidRPr="00EE0F28" w:rsidRDefault="007B2A81" w:rsidP="00C30B71">
            <w:pPr>
              <w:pStyle w:val="NoSpacing"/>
              <w:rPr>
                <w:sz w:val="16"/>
                <w:szCs w:val="16"/>
              </w:rPr>
            </w:pPr>
          </w:p>
        </w:tc>
        <w:tc>
          <w:tcPr>
            <w:tcW w:w="9728" w:type="dxa"/>
          </w:tcPr>
          <w:p w:rsidR="007B2A81" w:rsidRPr="00EE0F28" w:rsidRDefault="007B2A81" w:rsidP="00C30B71">
            <w:pPr>
              <w:pStyle w:val="NoSpacing"/>
              <w:rPr>
                <w:sz w:val="16"/>
                <w:szCs w:val="16"/>
              </w:rPr>
            </w:pPr>
          </w:p>
        </w:tc>
      </w:tr>
      <w:tr w:rsidR="007B2A81" w:rsidTr="00951318">
        <w:tc>
          <w:tcPr>
            <w:tcW w:w="730" w:type="dxa"/>
          </w:tcPr>
          <w:p w:rsidR="007B2A81" w:rsidRPr="00430061" w:rsidRDefault="007B2A81" w:rsidP="00C30B71">
            <w:pPr>
              <w:pStyle w:val="NoSpacing"/>
              <w:rPr>
                <w:b/>
              </w:rPr>
            </w:pPr>
            <w:r w:rsidRPr="00430061">
              <w:rPr>
                <w:b/>
              </w:rPr>
              <w:t>I.</w:t>
            </w:r>
          </w:p>
        </w:tc>
        <w:tc>
          <w:tcPr>
            <w:tcW w:w="9728" w:type="dxa"/>
          </w:tcPr>
          <w:p w:rsidR="007B2A81" w:rsidRDefault="007B2A81" w:rsidP="00C30B71">
            <w:pPr>
              <w:pStyle w:val="NoSpacing"/>
              <w:rPr>
                <w:b/>
              </w:rPr>
            </w:pPr>
            <w:r w:rsidRPr="00430061">
              <w:rPr>
                <w:b/>
              </w:rPr>
              <w:t>Call To Order</w:t>
            </w:r>
          </w:p>
          <w:p w:rsidR="007B2A81" w:rsidRDefault="007B2A81" w:rsidP="00C30B71">
            <w:pPr>
              <w:pStyle w:val="NoSpacing"/>
            </w:pPr>
            <w:r>
              <w:t>Meeting was called to order by John at 9:35 a.m.</w:t>
            </w:r>
          </w:p>
          <w:p w:rsidR="007B2A81" w:rsidRPr="007B2A81" w:rsidRDefault="007B2A81" w:rsidP="00C30B71">
            <w:pPr>
              <w:pStyle w:val="NoSpacing"/>
            </w:pPr>
          </w:p>
        </w:tc>
      </w:tr>
      <w:tr w:rsidR="007B2A81" w:rsidTr="00951318">
        <w:tc>
          <w:tcPr>
            <w:tcW w:w="730" w:type="dxa"/>
          </w:tcPr>
          <w:p w:rsidR="007B2A81" w:rsidRPr="00430061" w:rsidRDefault="007B2A81" w:rsidP="00C30B71">
            <w:pPr>
              <w:pStyle w:val="NoSpacing"/>
              <w:rPr>
                <w:b/>
              </w:rPr>
            </w:pPr>
            <w:r w:rsidRPr="00430061">
              <w:rPr>
                <w:b/>
              </w:rPr>
              <w:t>II.</w:t>
            </w:r>
          </w:p>
        </w:tc>
        <w:tc>
          <w:tcPr>
            <w:tcW w:w="9728" w:type="dxa"/>
          </w:tcPr>
          <w:p w:rsidR="007B2A81" w:rsidRDefault="007B2A81" w:rsidP="00360108">
            <w:pPr>
              <w:pStyle w:val="NoSpacing"/>
              <w:rPr>
                <w:b/>
              </w:rPr>
            </w:pPr>
            <w:r>
              <w:rPr>
                <w:b/>
              </w:rPr>
              <w:t>Participants Introduction</w:t>
            </w:r>
          </w:p>
          <w:p w:rsidR="007B2A81" w:rsidRPr="007B2A81" w:rsidRDefault="007B2A81" w:rsidP="006269C4">
            <w:pPr>
              <w:pStyle w:val="NoSpacing"/>
            </w:pPr>
            <w:r>
              <w:t xml:space="preserve">Participants included:    Steve Wilensky; John Heissenbuttel; Tad Mason; Tim Tate; Matt Waverly; Rick Hopson; Teresa McClung; Kendal Young; Peter </w:t>
            </w:r>
            <w:r w:rsidR="00AF6E14">
              <w:t>Zaragoza</w:t>
            </w:r>
            <w:r>
              <w:t>; Dick McCle</w:t>
            </w:r>
            <w:r w:rsidR="00AF6E14">
              <w:t>e</w:t>
            </w:r>
            <w:r>
              <w:t xml:space="preserve">ry; Pat McGreevy; Katherine Evatt; Bill Haigh; Eric Kleinfelter; Rick Breeze-Martin; Robert Smith; Jim Dambacher; Karl Dambacher; </w:t>
            </w:r>
            <w:r w:rsidR="006269C4">
              <w:t>Gary Slade, Trout Unlimited</w:t>
            </w:r>
            <w:r>
              <w:t xml:space="preserve">; </w:t>
            </w:r>
            <w:r w:rsidR="00951318">
              <w:t>Cathy Koos-Breaze</w:t>
            </w:r>
            <w:r w:rsidR="00AF6E14">
              <w:t>a</w:t>
            </w:r>
            <w:r w:rsidR="00951318">
              <w:t xml:space="preserve">l; </w:t>
            </w:r>
            <w:r w:rsidR="00AF6E14" w:rsidRPr="00AF6E14">
              <w:t>Reuben</w:t>
            </w:r>
            <w:r w:rsidR="00AF6E14">
              <w:t xml:space="preserve"> Childress</w:t>
            </w:r>
            <w:r w:rsidR="00951318">
              <w:t xml:space="preserve">; Nick </w:t>
            </w:r>
            <w:r w:rsidR="00AF6E14">
              <w:t>Enstice</w:t>
            </w:r>
            <w:r w:rsidR="00951318">
              <w:t xml:space="preserve">; Kristen </w:t>
            </w:r>
            <w:proofErr w:type="spellStart"/>
            <w:r w:rsidR="00951318">
              <w:t>Podolak</w:t>
            </w:r>
            <w:proofErr w:type="spellEnd"/>
            <w:r w:rsidR="00951318">
              <w:t xml:space="preserve">; </w:t>
            </w:r>
          </w:p>
        </w:tc>
      </w:tr>
      <w:tr w:rsidR="007B2A81" w:rsidTr="00951318">
        <w:tc>
          <w:tcPr>
            <w:tcW w:w="730" w:type="dxa"/>
          </w:tcPr>
          <w:p w:rsidR="007B2A81" w:rsidRPr="00430061" w:rsidRDefault="007B2A81" w:rsidP="00C30B71">
            <w:pPr>
              <w:pStyle w:val="NoSpacing"/>
              <w:rPr>
                <w:b/>
              </w:rPr>
            </w:pPr>
            <w:r w:rsidRPr="00430061">
              <w:rPr>
                <w:b/>
              </w:rPr>
              <w:t>III.</w:t>
            </w:r>
          </w:p>
        </w:tc>
        <w:tc>
          <w:tcPr>
            <w:tcW w:w="9728" w:type="dxa"/>
          </w:tcPr>
          <w:p w:rsidR="007B2A81" w:rsidRDefault="007B2A81" w:rsidP="00C30B71">
            <w:pPr>
              <w:pStyle w:val="NoSpacing"/>
              <w:rPr>
                <w:b/>
              </w:rPr>
            </w:pPr>
            <w:r w:rsidRPr="00430061">
              <w:rPr>
                <w:b/>
              </w:rPr>
              <w:t>Modifications and/or Approval of Agenda</w:t>
            </w:r>
          </w:p>
          <w:p w:rsidR="00951318" w:rsidRDefault="00951318" w:rsidP="00C30B71">
            <w:pPr>
              <w:pStyle w:val="NoSpacing"/>
            </w:pPr>
            <w:r>
              <w:t>Agenda accepted by consensus as distributed</w:t>
            </w:r>
          </w:p>
          <w:p w:rsidR="00951318" w:rsidRPr="00951318" w:rsidRDefault="00951318" w:rsidP="00C30B71">
            <w:pPr>
              <w:pStyle w:val="NoSpacing"/>
            </w:pPr>
          </w:p>
        </w:tc>
      </w:tr>
      <w:tr w:rsidR="007B2A81" w:rsidTr="00951318">
        <w:tc>
          <w:tcPr>
            <w:tcW w:w="730" w:type="dxa"/>
          </w:tcPr>
          <w:p w:rsidR="007B2A81" w:rsidRPr="00430061" w:rsidRDefault="007B2A81" w:rsidP="00C30B71">
            <w:pPr>
              <w:pStyle w:val="NoSpacing"/>
              <w:rPr>
                <w:b/>
              </w:rPr>
            </w:pPr>
            <w:r w:rsidRPr="00430061">
              <w:rPr>
                <w:b/>
              </w:rPr>
              <w:t>IV.</w:t>
            </w:r>
          </w:p>
        </w:tc>
        <w:tc>
          <w:tcPr>
            <w:tcW w:w="9728" w:type="dxa"/>
          </w:tcPr>
          <w:p w:rsidR="007B2A81" w:rsidRDefault="007B2A81" w:rsidP="00C30B71">
            <w:pPr>
              <w:pStyle w:val="NoSpacing"/>
              <w:rPr>
                <w:b/>
              </w:rPr>
            </w:pPr>
            <w:r w:rsidRPr="00430061">
              <w:rPr>
                <w:b/>
              </w:rPr>
              <w:t>Approval of Previous Meeting Minutes</w:t>
            </w:r>
          </w:p>
          <w:p w:rsidR="00951318" w:rsidRDefault="00951318" w:rsidP="00C30B71">
            <w:pPr>
              <w:pStyle w:val="NoSpacing"/>
            </w:pPr>
            <w:r>
              <w:t>Not available – Tabled</w:t>
            </w:r>
            <w:r w:rsidR="00FC6B01">
              <w:t xml:space="preserve"> until January meeting</w:t>
            </w:r>
          </w:p>
          <w:p w:rsidR="00951318" w:rsidRPr="00951318" w:rsidRDefault="00951318" w:rsidP="00C30B71">
            <w:pPr>
              <w:pStyle w:val="NoSpacing"/>
            </w:pPr>
          </w:p>
        </w:tc>
      </w:tr>
      <w:tr w:rsidR="007B2A81" w:rsidTr="00951318">
        <w:tc>
          <w:tcPr>
            <w:tcW w:w="730" w:type="dxa"/>
          </w:tcPr>
          <w:p w:rsidR="007B2A81" w:rsidRPr="00430061" w:rsidRDefault="007B2A81" w:rsidP="00C30B71">
            <w:pPr>
              <w:pStyle w:val="NoSpacing"/>
              <w:rPr>
                <w:b/>
              </w:rPr>
            </w:pPr>
            <w:r>
              <w:rPr>
                <w:b/>
              </w:rPr>
              <w:t>V.</w:t>
            </w:r>
          </w:p>
        </w:tc>
        <w:tc>
          <w:tcPr>
            <w:tcW w:w="9728" w:type="dxa"/>
          </w:tcPr>
          <w:p w:rsidR="007B2A81" w:rsidRDefault="007B2A81" w:rsidP="0092018E">
            <w:pPr>
              <w:pStyle w:val="NoSpacing"/>
              <w:rPr>
                <w:b/>
              </w:rPr>
            </w:pPr>
            <w:r>
              <w:rPr>
                <w:b/>
              </w:rPr>
              <w:t>Status of Active Action Items</w:t>
            </w:r>
          </w:p>
          <w:p w:rsidR="00951318" w:rsidRDefault="00951318" w:rsidP="0092018E">
            <w:pPr>
              <w:pStyle w:val="NoSpacing"/>
            </w:pPr>
            <w:r>
              <w:t>Not available – Tabled</w:t>
            </w:r>
            <w:r w:rsidR="00FC6B01">
              <w:t xml:space="preserve"> until January meeting</w:t>
            </w:r>
          </w:p>
          <w:p w:rsidR="00951318" w:rsidRPr="00951318" w:rsidRDefault="00951318" w:rsidP="0092018E">
            <w:pPr>
              <w:pStyle w:val="NoSpacing"/>
            </w:pPr>
          </w:p>
        </w:tc>
      </w:tr>
      <w:tr w:rsidR="007B2A81" w:rsidTr="00951318">
        <w:tc>
          <w:tcPr>
            <w:tcW w:w="730" w:type="dxa"/>
          </w:tcPr>
          <w:p w:rsidR="007B2A81" w:rsidRPr="00430061" w:rsidRDefault="007B2A81" w:rsidP="00C30B71">
            <w:pPr>
              <w:pStyle w:val="NoSpacing"/>
              <w:rPr>
                <w:b/>
              </w:rPr>
            </w:pPr>
            <w:r>
              <w:rPr>
                <w:b/>
              </w:rPr>
              <w:t>VI.</w:t>
            </w:r>
          </w:p>
        </w:tc>
        <w:tc>
          <w:tcPr>
            <w:tcW w:w="9728" w:type="dxa"/>
          </w:tcPr>
          <w:p w:rsidR="007B2A81" w:rsidRDefault="007B2A81" w:rsidP="00C30B71">
            <w:pPr>
              <w:pStyle w:val="NoSpacing"/>
              <w:rPr>
                <w:b/>
              </w:rPr>
            </w:pPr>
            <w:r>
              <w:rPr>
                <w:b/>
              </w:rPr>
              <w:t>ACCG Work Groups</w:t>
            </w:r>
          </w:p>
        </w:tc>
      </w:tr>
      <w:tr w:rsidR="007B2A81" w:rsidTr="00951318">
        <w:tc>
          <w:tcPr>
            <w:tcW w:w="730" w:type="dxa"/>
          </w:tcPr>
          <w:p w:rsidR="007B2A81" w:rsidRPr="00430061" w:rsidRDefault="007B2A81" w:rsidP="00C30B71">
            <w:pPr>
              <w:pStyle w:val="NoSpacing"/>
              <w:rPr>
                <w:b/>
              </w:rPr>
            </w:pPr>
          </w:p>
        </w:tc>
        <w:tc>
          <w:tcPr>
            <w:tcW w:w="9728" w:type="dxa"/>
          </w:tcPr>
          <w:p w:rsidR="007B2A81" w:rsidRPr="00A60D2E" w:rsidRDefault="007B2A81" w:rsidP="00320DC8">
            <w:pPr>
              <w:pStyle w:val="NoSpacing"/>
            </w:pPr>
            <w:r>
              <w:rPr>
                <w:b/>
              </w:rPr>
              <w:t xml:space="preserve">A. Admin Work Group </w:t>
            </w:r>
            <w:r>
              <w:t>– R. Breeze-Martin</w:t>
            </w:r>
          </w:p>
        </w:tc>
      </w:tr>
      <w:tr w:rsidR="007B2A81" w:rsidRPr="00C33829" w:rsidTr="00951318">
        <w:tc>
          <w:tcPr>
            <w:tcW w:w="730" w:type="dxa"/>
          </w:tcPr>
          <w:p w:rsidR="007B2A81" w:rsidRPr="00C33829" w:rsidRDefault="007B2A81" w:rsidP="00C30B71">
            <w:pPr>
              <w:pStyle w:val="NoSpacing"/>
            </w:pPr>
          </w:p>
        </w:tc>
        <w:tc>
          <w:tcPr>
            <w:tcW w:w="9728" w:type="dxa"/>
          </w:tcPr>
          <w:p w:rsidR="007B2A81" w:rsidRDefault="007B2A81" w:rsidP="00C33829">
            <w:pPr>
              <w:pStyle w:val="NoSpacing"/>
              <w:numPr>
                <w:ilvl w:val="0"/>
                <w:numId w:val="16"/>
              </w:numPr>
            </w:pPr>
            <w:r w:rsidRPr="00C33829">
              <w:t>Status of ACCG Workgroups: Roles and Membership</w:t>
            </w:r>
            <w:r w:rsidR="00951318">
              <w:t>:  Members were asked to review the ACCG Standing Work Group members list (Kendal provided a large print version) and affirm or change</w:t>
            </w:r>
            <w:r w:rsidR="00366BCC">
              <w:t xml:space="preserve"> (e.g. delete or add)</w:t>
            </w:r>
            <w:r w:rsidR="00951318">
              <w:t xml:space="preserve"> their participation</w:t>
            </w:r>
            <w:r w:rsidR="00366BCC">
              <w:t xml:space="preserve"> in the Planning, Admin, Fiscal or Operations Work </w:t>
            </w:r>
            <w:proofErr w:type="gramStart"/>
            <w:r w:rsidR="00366BCC">
              <w:t xml:space="preserve">Groups </w:t>
            </w:r>
            <w:r w:rsidR="000477A8">
              <w:t>.</w:t>
            </w:r>
            <w:proofErr w:type="gramEnd"/>
            <w:r w:rsidR="000477A8">
              <w:t xml:space="preserve"> </w:t>
            </w:r>
            <w:r w:rsidR="000477A8" w:rsidRPr="000477A8">
              <w:rPr>
                <w:b/>
                <w:i/>
              </w:rPr>
              <w:t>Action</w:t>
            </w:r>
            <w:r w:rsidR="000477A8">
              <w:t>:  Members to review their Work Group assignments and let Admin know what if any changes they want to make.</w:t>
            </w:r>
          </w:p>
          <w:p w:rsidR="00366BCC" w:rsidRPr="00C33829" w:rsidRDefault="00366BCC" w:rsidP="00366BCC">
            <w:pPr>
              <w:pStyle w:val="NoSpacing"/>
            </w:pPr>
          </w:p>
        </w:tc>
      </w:tr>
      <w:tr w:rsidR="007B2A81" w:rsidRPr="00C33829" w:rsidTr="00951318">
        <w:tc>
          <w:tcPr>
            <w:tcW w:w="730" w:type="dxa"/>
          </w:tcPr>
          <w:p w:rsidR="007B2A81" w:rsidRPr="00C33829" w:rsidRDefault="007B2A81" w:rsidP="00C30B71">
            <w:pPr>
              <w:pStyle w:val="NoSpacing"/>
            </w:pPr>
          </w:p>
        </w:tc>
        <w:tc>
          <w:tcPr>
            <w:tcW w:w="9728" w:type="dxa"/>
          </w:tcPr>
          <w:p w:rsidR="007B2A81" w:rsidRDefault="007B2A81" w:rsidP="00C33829">
            <w:pPr>
              <w:pStyle w:val="NoSpacing"/>
              <w:numPr>
                <w:ilvl w:val="0"/>
                <w:numId w:val="16"/>
              </w:numPr>
            </w:pPr>
            <w:r w:rsidRPr="00C33829">
              <w:t>Status of External Communication</w:t>
            </w:r>
            <w:r>
              <w:t xml:space="preserve"> Efforts</w:t>
            </w:r>
            <w:r w:rsidR="00366BCC">
              <w:t>:  Katherine Evatt provided a status update of developing the Communications sub-group of the Admin WG and requested USFS / BLM</w:t>
            </w:r>
            <w:r w:rsidR="00AC270A">
              <w:t xml:space="preserve"> / SNC for assistance from their</w:t>
            </w:r>
            <w:r w:rsidR="00366BCC">
              <w:t xml:space="preserve"> Public Information Officer</w:t>
            </w:r>
            <w:r w:rsidR="00AC270A">
              <w:t>s</w:t>
            </w:r>
            <w:r w:rsidR="00366BCC">
              <w:t xml:space="preserve"> (PIO).  </w:t>
            </w:r>
            <w:r w:rsidR="00366BCC" w:rsidRPr="000477A8">
              <w:rPr>
                <w:b/>
                <w:i/>
              </w:rPr>
              <w:t>Action</w:t>
            </w:r>
            <w:r w:rsidR="00366BCC">
              <w:t xml:space="preserve">:  USFS &amp; BLM to follow up on PIO availability to help with </w:t>
            </w:r>
            <w:r w:rsidR="00AC270A">
              <w:t>developing</w:t>
            </w:r>
            <w:r w:rsidR="00366BCC">
              <w:t xml:space="preserve"> public communications capacity.  </w:t>
            </w:r>
          </w:p>
          <w:p w:rsidR="00366BCC" w:rsidRPr="00C33829" w:rsidRDefault="00366BCC" w:rsidP="00366BCC">
            <w:pPr>
              <w:pStyle w:val="NoSpacing"/>
            </w:pPr>
          </w:p>
        </w:tc>
      </w:tr>
      <w:tr w:rsidR="007B2A81" w:rsidRPr="00C33829" w:rsidTr="00951318">
        <w:tc>
          <w:tcPr>
            <w:tcW w:w="730" w:type="dxa"/>
          </w:tcPr>
          <w:p w:rsidR="007B2A81" w:rsidRPr="00C33829" w:rsidRDefault="007B2A81" w:rsidP="00C30B71">
            <w:pPr>
              <w:pStyle w:val="NoSpacing"/>
            </w:pPr>
          </w:p>
        </w:tc>
        <w:tc>
          <w:tcPr>
            <w:tcW w:w="9728" w:type="dxa"/>
          </w:tcPr>
          <w:p w:rsidR="007B2A81" w:rsidRDefault="007B2A81" w:rsidP="00C33829">
            <w:pPr>
              <w:pStyle w:val="NoSpacing"/>
              <w:numPr>
                <w:ilvl w:val="0"/>
                <w:numId w:val="16"/>
              </w:numPr>
            </w:pPr>
            <w:r w:rsidRPr="00C33829">
              <w:t>ACCG Overall Needs and Gaps</w:t>
            </w:r>
            <w:r>
              <w:t xml:space="preserve"> Discussion</w:t>
            </w:r>
            <w:r w:rsidR="00366BCC">
              <w:t>:</w:t>
            </w:r>
            <w:r w:rsidR="00EC3A63">
              <w:t xml:space="preserve">  Katherine Evatt recommended for Admin WG that ACCG take time at its next meeting to discuss gaps in support needs for ACCG collaboration in order to identify needs and plan how to fill the “needs gap”.  </w:t>
            </w:r>
            <w:r w:rsidR="00EC3A63" w:rsidRPr="00EC3A63">
              <w:rPr>
                <w:b/>
                <w:i/>
              </w:rPr>
              <w:t>Action</w:t>
            </w:r>
            <w:r w:rsidR="00EC3A63">
              <w:t xml:space="preserve">: Put this topic on the January agenda for discussion. </w:t>
            </w:r>
            <w:r w:rsidR="00366BCC">
              <w:t xml:space="preserve"> </w:t>
            </w:r>
          </w:p>
          <w:p w:rsidR="00366BCC" w:rsidRPr="00C33829" w:rsidRDefault="00366BCC" w:rsidP="00366BCC">
            <w:pPr>
              <w:pStyle w:val="NoSpacing"/>
            </w:pPr>
          </w:p>
        </w:tc>
      </w:tr>
      <w:tr w:rsidR="007B2A81" w:rsidTr="00951318">
        <w:tc>
          <w:tcPr>
            <w:tcW w:w="730" w:type="dxa"/>
          </w:tcPr>
          <w:p w:rsidR="007B2A81" w:rsidRPr="00430061" w:rsidRDefault="007B2A81" w:rsidP="00C30B71">
            <w:pPr>
              <w:pStyle w:val="NoSpacing"/>
              <w:rPr>
                <w:b/>
              </w:rPr>
            </w:pPr>
          </w:p>
        </w:tc>
        <w:tc>
          <w:tcPr>
            <w:tcW w:w="9728" w:type="dxa"/>
          </w:tcPr>
          <w:p w:rsidR="007B2A81" w:rsidRPr="00A60D2E" w:rsidRDefault="007B2A81" w:rsidP="00C33829">
            <w:pPr>
              <w:pStyle w:val="NoSpacing"/>
            </w:pPr>
            <w:r>
              <w:rPr>
                <w:b/>
              </w:rPr>
              <w:t>B. Planning Work Group –</w:t>
            </w:r>
            <w:r w:rsidRPr="00C33829">
              <w:t xml:space="preserve"> K. Young</w:t>
            </w:r>
          </w:p>
        </w:tc>
      </w:tr>
      <w:tr w:rsidR="007B2A81" w:rsidRPr="00257D2F" w:rsidTr="00951318">
        <w:tc>
          <w:tcPr>
            <w:tcW w:w="730" w:type="dxa"/>
          </w:tcPr>
          <w:p w:rsidR="007B2A81" w:rsidRPr="00257D2F" w:rsidRDefault="007B2A81" w:rsidP="00C30B71">
            <w:pPr>
              <w:pStyle w:val="NoSpacing"/>
            </w:pPr>
          </w:p>
        </w:tc>
        <w:tc>
          <w:tcPr>
            <w:tcW w:w="9728" w:type="dxa"/>
          </w:tcPr>
          <w:p w:rsidR="007B2A81" w:rsidRDefault="007B2A81" w:rsidP="00C33829">
            <w:pPr>
              <w:pStyle w:val="NoSpacing"/>
              <w:numPr>
                <w:ilvl w:val="0"/>
                <w:numId w:val="2"/>
              </w:numPr>
            </w:pPr>
            <w:r>
              <w:t>CFLR Report</w:t>
            </w:r>
            <w:r w:rsidR="00366BCC">
              <w:t>:</w:t>
            </w:r>
            <w:r w:rsidR="002776A7">
              <w:t xml:space="preserve">  Kendal passed</w:t>
            </w:r>
            <w:r w:rsidR="00AC270A">
              <w:t xml:space="preserve"> out copy of the final CFLR and it was briefly discussed for lessons learned to incorporate into future annual reporting.</w:t>
            </w:r>
          </w:p>
          <w:p w:rsidR="00366BCC" w:rsidRPr="00257D2F" w:rsidRDefault="00366BCC" w:rsidP="00366BCC">
            <w:pPr>
              <w:pStyle w:val="NoSpacing"/>
            </w:pPr>
          </w:p>
        </w:tc>
      </w:tr>
      <w:tr w:rsidR="007B2A81" w:rsidRPr="00C33829" w:rsidTr="00951318">
        <w:tc>
          <w:tcPr>
            <w:tcW w:w="730" w:type="dxa"/>
          </w:tcPr>
          <w:p w:rsidR="007B2A81" w:rsidRPr="00C33829" w:rsidRDefault="007B2A81" w:rsidP="00C30B71">
            <w:pPr>
              <w:pStyle w:val="NoSpacing"/>
            </w:pPr>
          </w:p>
        </w:tc>
        <w:tc>
          <w:tcPr>
            <w:tcW w:w="9728" w:type="dxa"/>
          </w:tcPr>
          <w:p w:rsidR="007B2A81" w:rsidRDefault="007B2A81" w:rsidP="00C33829">
            <w:pPr>
              <w:pStyle w:val="NoSpacing"/>
              <w:numPr>
                <w:ilvl w:val="0"/>
                <w:numId w:val="2"/>
              </w:numPr>
            </w:pPr>
            <w:r w:rsidRPr="00C33829">
              <w:t>Status of Current Projects</w:t>
            </w:r>
            <w:r w:rsidR="00366BCC">
              <w:t xml:space="preserve">: </w:t>
            </w:r>
            <w:r w:rsidR="00AC270A">
              <w:t>Kendal provided brief update status of current CFLR Cornerstone projects.</w:t>
            </w:r>
          </w:p>
          <w:p w:rsidR="00366BCC" w:rsidRPr="00C33829" w:rsidRDefault="00366BCC" w:rsidP="00366BCC">
            <w:pPr>
              <w:pStyle w:val="NoSpacing"/>
            </w:pPr>
          </w:p>
        </w:tc>
      </w:tr>
      <w:tr w:rsidR="007B2A81" w:rsidRPr="00C33829" w:rsidTr="00951318">
        <w:tc>
          <w:tcPr>
            <w:tcW w:w="730" w:type="dxa"/>
          </w:tcPr>
          <w:p w:rsidR="007B2A81" w:rsidRPr="00C33829" w:rsidRDefault="007B2A81" w:rsidP="00C30B71">
            <w:pPr>
              <w:pStyle w:val="NoSpacing"/>
            </w:pPr>
          </w:p>
        </w:tc>
        <w:tc>
          <w:tcPr>
            <w:tcW w:w="9728" w:type="dxa"/>
          </w:tcPr>
          <w:p w:rsidR="007B2A81" w:rsidRDefault="007B2A81" w:rsidP="00C33829">
            <w:pPr>
              <w:pStyle w:val="NoSpacing"/>
              <w:numPr>
                <w:ilvl w:val="0"/>
                <w:numId w:val="2"/>
              </w:numPr>
            </w:pPr>
            <w:r w:rsidRPr="00C33829">
              <w:t>Discussion on Monitoring Component</w:t>
            </w:r>
            <w:r w:rsidR="00366BCC">
              <w:t xml:space="preserve">: </w:t>
            </w:r>
            <w:r w:rsidR="00AC270A">
              <w:t xml:space="preserve">Kendal provided brief description and update of Cornerstone monitoring system development; brief group discussion occurred.  </w:t>
            </w:r>
            <w:r w:rsidR="00AC270A" w:rsidRPr="00AC270A">
              <w:rPr>
                <w:b/>
                <w:i/>
              </w:rPr>
              <w:t>Action</w:t>
            </w:r>
            <w:r w:rsidR="00AC270A">
              <w:t>: Planning WG will coordinate with Operations WG to establish roles &amp; responsibilities for each group in relation to developing and implementing the Cornerstone monitoring system.</w:t>
            </w:r>
          </w:p>
          <w:p w:rsidR="00366BCC" w:rsidRPr="00C33829" w:rsidRDefault="00366BCC" w:rsidP="00366BCC">
            <w:pPr>
              <w:pStyle w:val="NoSpacing"/>
            </w:pPr>
          </w:p>
        </w:tc>
      </w:tr>
      <w:tr w:rsidR="007B2A81" w:rsidRPr="00C33829" w:rsidTr="00951318">
        <w:tc>
          <w:tcPr>
            <w:tcW w:w="730" w:type="dxa"/>
          </w:tcPr>
          <w:p w:rsidR="007B2A81" w:rsidRPr="00C33829" w:rsidRDefault="007B2A81" w:rsidP="00C30B71">
            <w:pPr>
              <w:pStyle w:val="NoSpacing"/>
            </w:pPr>
          </w:p>
        </w:tc>
        <w:tc>
          <w:tcPr>
            <w:tcW w:w="9728" w:type="dxa"/>
          </w:tcPr>
          <w:p w:rsidR="006918AE" w:rsidRDefault="007B2A81" w:rsidP="00C33829">
            <w:pPr>
              <w:pStyle w:val="NoSpacing"/>
              <w:numPr>
                <w:ilvl w:val="0"/>
                <w:numId w:val="2"/>
              </w:numPr>
            </w:pPr>
            <w:r w:rsidRPr="00C33829">
              <w:t xml:space="preserve">Cornerstone MOU/MSA </w:t>
            </w:r>
            <w:r>
              <w:t>Recommendation</w:t>
            </w:r>
            <w:r w:rsidR="00366BCC">
              <w:t xml:space="preserve">: </w:t>
            </w:r>
            <w:r w:rsidR="00AC270A">
              <w:t>Rick Breeze-Martin reported out and noted that the ad hoc Cornerstone MSA WG is now transitioned as a sub-group of the Planning WG and indicated that expansion of the sub-group is open to other ACCG members.  He reported out the following three recommendations</w:t>
            </w:r>
            <w:r w:rsidR="00E852BD">
              <w:t xml:space="preserve"> regarding agreements to be developed</w:t>
            </w:r>
            <w:r w:rsidR="00AC270A">
              <w:t xml:space="preserve">: </w:t>
            </w:r>
          </w:p>
          <w:p w:rsidR="007B2A81" w:rsidRDefault="00AC270A" w:rsidP="006918AE">
            <w:pPr>
              <w:pStyle w:val="NoSpacing"/>
            </w:pPr>
            <w:proofErr w:type="gramStart"/>
            <w:r>
              <w:t xml:space="preserve">A) Develop </w:t>
            </w:r>
            <w:r w:rsidR="006918AE">
              <w:t xml:space="preserve">a </w:t>
            </w:r>
            <w:r w:rsidR="00E852BD">
              <w:t xml:space="preserve">draft Memorandum </w:t>
            </w:r>
            <w:r w:rsidR="006918AE">
              <w:t>O</w:t>
            </w:r>
            <w:r w:rsidR="00E852BD">
              <w:t xml:space="preserve">f </w:t>
            </w:r>
            <w:r w:rsidR="006918AE">
              <w:t>U</w:t>
            </w:r>
            <w:r w:rsidR="00E852BD">
              <w:t xml:space="preserve">nderstanding (MOU) </w:t>
            </w:r>
            <w:r w:rsidR="006918AE">
              <w:t xml:space="preserve"> with the USFS for the Cornerstone project for ACCG consideration that includes the approved preamble, best value criteria for All Lands Triple-Bottom-Line; description of MOU parties general roles and responsibilities, Wyden amendment intent, reference to use of all available USFS “tools” (i.e. contracts, agreements, etc.)</w:t>
            </w:r>
            <w:r w:rsidR="00E852BD">
              <w:t>, and other items as appropriate for the draft MOU.</w:t>
            </w:r>
            <w:proofErr w:type="gramEnd"/>
          </w:p>
          <w:p w:rsidR="00E852BD" w:rsidRDefault="00E852BD" w:rsidP="006918AE">
            <w:pPr>
              <w:pStyle w:val="NoSpacing"/>
            </w:pPr>
            <w:r>
              <w:t>B) The Cornerstone MOU/MSA sub-group is to continue progress towards developing a draft Cornerstone Master Stewardship Agreement as a USFS “tool” for ACCG consideration.</w:t>
            </w:r>
          </w:p>
          <w:p w:rsidR="00E852BD" w:rsidRDefault="00E852BD" w:rsidP="006918AE">
            <w:pPr>
              <w:pStyle w:val="NoSpacing"/>
            </w:pPr>
            <w:r>
              <w:t>C) That ACCG appoint an ad hoc sub-work group of Planning to develop a Participation Agreement (PA) to utilize non-USFS resources for training Native Americans and Veterans in forest work appropriate skills</w:t>
            </w:r>
            <w:r w:rsidR="009F735C">
              <w:t>.</w:t>
            </w:r>
            <w:r w:rsidR="005D4D47">
              <w:t xml:space="preserve">  A lively discussion ensued with the following results.</w:t>
            </w:r>
          </w:p>
          <w:p w:rsidR="009F735C" w:rsidRPr="009F735C" w:rsidRDefault="009F735C" w:rsidP="006918AE">
            <w:pPr>
              <w:pStyle w:val="NoSpacing"/>
              <w:rPr>
                <w:b/>
                <w:i/>
              </w:rPr>
            </w:pPr>
            <w:r w:rsidRPr="009F735C">
              <w:rPr>
                <w:b/>
                <w:i/>
              </w:rPr>
              <w:t>Action</w:t>
            </w:r>
            <w:r>
              <w:rPr>
                <w:b/>
                <w:i/>
              </w:rPr>
              <w:t>s</w:t>
            </w:r>
            <w:r w:rsidRPr="009F735C">
              <w:rPr>
                <w:b/>
                <w:i/>
              </w:rPr>
              <w:t>:</w:t>
            </w:r>
          </w:p>
          <w:p w:rsidR="009F735C" w:rsidRDefault="009F735C" w:rsidP="006918AE">
            <w:pPr>
              <w:pStyle w:val="NoSpacing"/>
            </w:pPr>
            <w:r w:rsidRPr="009F735C">
              <w:rPr>
                <w:i/>
              </w:rPr>
              <w:t>For recommendation A</w:t>
            </w:r>
            <w:r>
              <w:t>): By consensus approval, the Planning sub-group is to develop a draft Cornerstone MOU to recommend to the ACCG and USFS.</w:t>
            </w:r>
          </w:p>
          <w:p w:rsidR="009F735C" w:rsidRDefault="009F735C" w:rsidP="006918AE">
            <w:pPr>
              <w:pStyle w:val="NoSpacing"/>
            </w:pPr>
            <w:r w:rsidRPr="009F735C">
              <w:rPr>
                <w:i/>
              </w:rPr>
              <w:t>For recommendation B</w:t>
            </w:r>
            <w:r>
              <w:t>): By consensus approval, the Planning sub-group is to</w:t>
            </w:r>
            <w:r w:rsidRPr="009F735C">
              <w:t xml:space="preserve"> continue progress towards developing a draft Cornerstone Master Stewardship Agreement as a USFS “tool” for ACCG consideration</w:t>
            </w:r>
            <w:r>
              <w:t>.</w:t>
            </w:r>
          </w:p>
          <w:p w:rsidR="009F735C" w:rsidRDefault="009F735C" w:rsidP="006918AE">
            <w:pPr>
              <w:pStyle w:val="NoSpacing"/>
            </w:pPr>
            <w:r w:rsidRPr="009F735C">
              <w:rPr>
                <w:i/>
              </w:rPr>
              <w:t>For recommendation C</w:t>
            </w:r>
            <w:r>
              <w:t xml:space="preserve">): By consensus approval, the ACCG appointed Steve Wilensky to work with Jim Junette on an Appropriate PA instrument, and he is to recruit a Planning sub- group to plan and oversee implementation of the Native American and Veteran training project. </w:t>
            </w:r>
          </w:p>
          <w:p w:rsidR="00366BCC" w:rsidRPr="00C33829" w:rsidRDefault="00366BCC" w:rsidP="00366BCC">
            <w:pPr>
              <w:pStyle w:val="NoSpacing"/>
            </w:pPr>
          </w:p>
        </w:tc>
      </w:tr>
      <w:tr w:rsidR="007B2A81" w:rsidTr="00951318">
        <w:tc>
          <w:tcPr>
            <w:tcW w:w="730" w:type="dxa"/>
          </w:tcPr>
          <w:p w:rsidR="007B2A81" w:rsidRPr="00430061" w:rsidRDefault="007B2A81" w:rsidP="00C30B71">
            <w:pPr>
              <w:pStyle w:val="NoSpacing"/>
              <w:rPr>
                <w:b/>
              </w:rPr>
            </w:pPr>
          </w:p>
        </w:tc>
        <w:tc>
          <w:tcPr>
            <w:tcW w:w="9728" w:type="dxa"/>
          </w:tcPr>
          <w:p w:rsidR="007B2A81" w:rsidRPr="00A60D2E" w:rsidRDefault="007B2A81" w:rsidP="00320DC8">
            <w:pPr>
              <w:pStyle w:val="NoSpacing"/>
            </w:pPr>
            <w:r>
              <w:rPr>
                <w:b/>
              </w:rPr>
              <w:t xml:space="preserve">C. Finance Work Group </w:t>
            </w:r>
            <w:r>
              <w:t>– S. McMorris</w:t>
            </w:r>
          </w:p>
        </w:tc>
      </w:tr>
      <w:tr w:rsidR="007B2A81" w:rsidTr="00951318">
        <w:tc>
          <w:tcPr>
            <w:tcW w:w="730" w:type="dxa"/>
          </w:tcPr>
          <w:p w:rsidR="007B2A81" w:rsidRPr="00430061" w:rsidRDefault="007B2A81" w:rsidP="00C30B71">
            <w:pPr>
              <w:pStyle w:val="NoSpacing"/>
              <w:rPr>
                <w:b/>
              </w:rPr>
            </w:pPr>
          </w:p>
        </w:tc>
        <w:tc>
          <w:tcPr>
            <w:tcW w:w="9728" w:type="dxa"/>
          </w:tcPr>
          <w:p w:rsidR="007B2A81" w:rsidRDefault="007B2A81" w:rsidP="00C33829">
            <w:pPr>
              <w:pStyle w:val="NoSpacing"/>
              <w:numPr>
                <w:ilvl w:val="0"/>
                <w:numId w:val="5"/>
              </w:numPr>
            </w:pPr>
            <w:r>
              <w:t>In-Kind Reports</w:t>
            </w:r>
            <w:r w:rsidR="00366BCC">
              <w:t>:</w:t>
            </w:r>
            <w:r w:rsidR="00FC6B01">
              <w:t xml:space="preserve">  Rick </w:t>
            </w:r>
            <w:r w:rsidR="005D4D47">
              <w:t>reminded</w:t>
            </w:r>
            <w:r w:rsidR="00FC6B01">
              <w:t xml:space="preserve"> </w:t>
            </w:r>
            <w:r w:rsidR="005D4D47">
              <w:t>participants that they</w:t>
            </w:r>
            <w:r w:rsidR="00FC6B01">
              <w:t xml:space="preserve"> are to provide in-kind forms monthly</w:t>
            </w:r>
            <w:r w:rsidR="005D4D47">
              <w:t>, either by email to Cathy Koos-Brezeal (doing data input) or at ACCG meeting.  Blank in-kind forms to be available with ACCG agenda distribution and at the meetings.</w:t>
            </w:r>
          </w:p>
          <w:p w:rsidR="00366BCC" w:rsidRPr="00382692" w:rsidRDefault="00366BCC" w:rsidP="00366BCC">
            <w:pPr>
              <w:pStyle w:val="NoSpacing"/>
            </w:pPr>
          </w:p>
        </w:tc>
      </w:tr>
      <w:tr w:rsidR="007B2A81" w:rsidTr="00951318">
        <w:tc>
          <w:tcPr>
            <w:tcW w:w="730" w:type="dxa"/>
          </w:tcPr>
          <w:p w:rsidR="007B2A81" w:rsidRPr="00430061" w:rsidRDefault="007B2A81" w:rsidP="00C30B71">
            <w:pPr>
              <w:pStyle w:val="NoSpacing"/>
              <w:rPr>
                <w:b/>
              </w:rPr>
            </w:pPr>
          </w:p>
        </w:tc>
        <w:tc>
          <w:tcPr>
            <w:tcW w:w="9728" w:type="dxa"/>
          </w:tcPr>
          <w:p w:rsidR="007B2A81" w:rsidRPr="00A60D2E" w:rsidRDefault="007B2A81" w:rsidP="00320DC8">
            <w:pPr>
              <w:pStyle w:val="NoSpacing"/>
            </w:pPr>
            <w:r>
              <w:rPr>
                <w:b/>
              </w:rPr>
              <w:t xml:space="preserve">D. Operations Work Group </w:t>
            </w:r>
            <w:r>
              <w:t>– J. Heissenbuttel and J. Bray</w:t>
            </w:r>
          </w:p>
        </w:tc>
      </w:tr>
      <w:tr w:rsidR="007B2A81" w:rsidTr="00951318">
        <w:tc>
          <w:tcPr>
            <w:tcW w:w="730" w:type="dxa"/>
          </w:tcPr>
          <w:p w:rsidR="007B2A81" w:rsidRPr="00EE0F28" w:rsidRDefault="007B2A81" w:rsidP="00117FA3">
            <w:pPr>
              <w:pStyle w:val="NoSpacing"/>
              <w:rPr>
                <w:b/>
              </w:rPr>
            </w:pPr>
          </w:p>
        </w:tc>
        <w:tc>
          <w:tcPr>
            <w:tcW w:w="9728" w:type="dxa"/>
          </w:tcPr>
          <w:p w:rsidR="007B2A81" w:rsidRDefault="007B2A81" w:rsidP="00D242FB">
            <w:pPr>
              <w:pStyle w:val="NoSpacing"/>
              <w:numPr>
                <w:ilvl w:val="0"/>
                <w:numId w:val="7"/>
              </w:numPr>
            </w:pPr>
            <w:r>
              <w:t xml:space="preserve">Report </w:t>
            </w:r>
            <w:proofErr w:type="gramStart"/>
            <w:r>
              <w:t>From</w:t>
            </w:r>
            <w:proofErr w:type="gramEnd"/>
            <w:r>
              <w:t xml:space="preserve"> Operations Workgroup Meeting</w:t>
            </w:r>
            <w:r w:rsidR="00366BCC">
              <w:t>:</w:t>
            </w:r>
            <w:r w:rsidR="005D4D47">
              <w:t xml:space="preserve">   John notified participants that Jan Bray has retired from CalFire, she may continue to participate in ACCG in future.  John also brought up conference call with Tad Mason, et al re SB 1122; the meeting approved moving up the Old Business Item of SB1122 Presentation to this item.  Tad Mason provided an overview and status update of SB1122 in general, noting an upcoming SNC sponsored session at McClellan on December 14</w:t>
            </w:r>
            <w:r w:rsidR="005D4D47" w:rsidRPr="005D4D47">
              <w:rPr>
                <w:vertAlign w:val="superscript"/>
              </w:rPr>
              <w:t>th</w:t>
            </w:r>
            <w:r w:rsidR="005A4FC6">
              <w:t>.  He also</w:t>
            </w:r>
            <w:r w:rsidR="005D4D47">
              <w:t xml:space="preserve"> discussed the Wilseyville project</w:t>
            </w:r>
            <w:r w:rsidR="005A4FC6">
              <w:t xml:space="preserve"> position in the “q</w:t>
            </w:r>
            <w:r w:rsidR="00AF6E14">
              <w:t>ue</w:t>
            </w:r>
            <w:r w:rsidR="005A4FC6">
              <w:t>ue” of potential SB1122 projects</w:t>
            </w:r>
            <w:r w:rsidR="005D4D47">
              <w:t xml:space="preserve"> in particular.  After discussion with Q&amp;A the group decided to ask Tad back in January for an update and to answer other questions the group may have about the SB1122 process.  </w:t>
            </w:r>
            <w:r w:rsidR="005A4FC6" w:rsidRPr="005A4FC6">
              <w:rPr>
                <w:b/>
                <w:i/>
              </w:rPr>
              <w:t>Action:</w:t>
            </w:r>
            <w:r w:rsidR="005A4FC6">
              <w:t xml:space="preserve">  Keep Tad and SB1122 under Old Business for the January 2012 ACCG agenda for a status update</w:t>
            </w:r>
            <w:r w:rsidR="005D4D47">
              <w:t xml:space="preserve"> </w:t>
            </w:r>
            <w:r w:rsidR="005A4FC6">
              <w:t>with Q&amp;A.</w:t>
            </w:r>
          </w:p>
          <w:p w:rsidR="00366BCC" w:rsidRPr="00D242FB" w:rsidRDefault="00366BCC" w:rsidP="00366BCC">
            <w:pPr>
              <w:pStyle w:val="NoSpacing"/>
            </w:pPr>
          </w:p>
        </w:tc>
      </w:tr>
      <w:tr w:rsidR="007B2A81" w:rsidRPr="00F74AD9" w:rsidTr="00951318">
        <w:tc>
          <w:tcPr>
            <w:tcW w:w="730" w:type="dxa"/>
          </w:tcPr>
          <w:p w:rsidR="007B2A81" w:rsidRPr="00F74AD9" w:rsidRDefault="007B2A81" w:rsidP="00117FA3">
            <w:pPr>
              <w:pStyle w:val="NoSpacing"/>
            </w:pPr>
          </w:p>
        </w:tc>
        <w:tc>
          <w:tcPr>
            <w:tcW w:w="9728" w:type="dxa"/>
          </w:tcPr>
          <w:p w:rsidR="007B2A81" w:rsidRPr="00F74AD9" w:rsidRDefault="007B2A81" w:rsidP="00320DC8">
            <w:pPr>
              <w:pStyle w:val="NoSpacing"/>
            </w:pPr>
            <w:r>
              <w:rPr>
                <w:b/>
              </w:rPr>
              <w:t>E.  SCALE</w:t>
            </w:r>
            <w:r w:rsidRPr="00F74AD9">
              <w:rPr>
                <w:b/>
              </w:rPr>
              <w:t xml:space="preserve"> Project Development </w:t>
            </w:r>
            <w:r>
              <w:rPr>
                <w:b/>
              </w:rPr>
              <w:t xml:space="preserve">Ad Hoc </w:t>
            </w:r>
            <w:r w:rsidRPr="00F74AD9">
              <w:rPr>
                <w:b/>
              </w:rPr>
              <w:t>Work Group</w:t>
            </w:r>
            <w:r>
              <w:t xml:space="preserve"> – S. Wilensky</w:t>
            </w:r>
          </w:p>
        </w:tc>
      </w:tr>
      <w:tr w:rsidR="007B2A81" w:rsidTr="00951318">
        <w:tc>
          <w:tcPr>
            <w:tcW w:w="730" w:type="dxa"/>
          </w:tcPr>
          <w:p w:rsidR="007B2A81" w:rsidRPr="00EE0F28" w:rsidRDefault="007B2A81" w:rsidP="00117FA3">
            <w:pPr>
              <w:pStyle w:val="NoSpacing"/>
              <w:rPr>
                <w:b/>
              </w:rPr>
            </w:pPr>
          </w:p>
        </w:tc>
        <w:tc>
          <w:tcPr>
            <w:tcW w:w="9728" w:type="dxa"/>
          </w:tcPr>
          <w:p w:rsidR="007B2A81" w:rsidRDefault="007B2A81" w:rsidP="00F74AD9">
            <w:pPr>
              <w:pStyle w:val="NoSpacing"/>
              <w:numPr>
                <w:ilvl w:val="0"/>
                <w:numId w:val="8"/>
              </w:numPr>
            </w:pPr>
            <w:r>
              <w:t>Status of SCALE development</w:t>
            </w:r>
            <w:r w:rsidR="00366BCC">
              <w:t xml:space="preserve">: </w:t>
            </w:r>
            <w:r w:rsidR="00FC6B01">
              <w:t xml:space="preserve"> </w:t>
            </w:r>
            <w:r w:rsidR="00CB4EA1">
              <w:br/>
            </w:r>
            <w:r w:rsidR="00FC6B01">
              <w:t>Tabled until January meeting</w:t>
            </w:r>
          </w:p>
          <w:p w:rsidR="00366BCC" w:rsidRPr="00F74AD9" w:rsidRDefault="00366BCC" w:rsidP="00366BCC">
            <w:pPr>
              <w:pStyle w:val="NoSpacing"/>
            </w:pPr>
          </w:p>
        </w:tc>
      </w:tr>
      <w:tr w:rsidR="007B2A81" w:rsidTr="00951318">
        <w:tc>
          <w:tcPr>
            <w:tcW w:w="730" w:type="dxa"/>
          </w:tcPr>
          <w:p w:rsidR="007B2A81" w:rsidRPr="00EE0F28" w:rsidRDefault="007B2A81" w:rsidP="00117FA3">
            <w:pPr>
              <w:pStyle w:val="NoSpacing"/>
              <w:rPr>
                <w:b/>
              </w:rPr>
            </w:pPr>
            <w:r w:rsidRPr="00EE0F28">
              <w:rPr>
                <w:b/>
              </w:rPr>
              <w:t>VI</w:t>
            </w:r>
            <w:r>
              <w:rPr>
                <w:b/>
              </w:rPr>
              <w:t>I</w:t>
            </w:r>
            <w:r w:rsidRPr="00EE0F28">
              <w:rPr>
                <w:b/>
              </w:rPr>
              <w:t>.</w:t>
            </w:r>
          </w:p>
        </w:tc>
        <w:tc>
          <w:tcPr>
            <w:tcW w:w="9728" w:type="dxa"/>
          </w:tcPr>
          <w:p w:rsidR="007B2A81" w:rsidRPr="00EE0F28" w:rsidRDefault="007B2A81" w:rsidP="00C30B71">
            <w:pPr>
              <w:pStyle w:val="NoSpacing"/>
              <w:rPr>
                <w:b/>
              </w:rPr>
            </w:pPr>
            <w:r>
              <w:rPr>
                <w:b/>
              </w:rPr>
              <w:t>Old</w:t>
            </w:r>
            <w:r w:rsidRPr="00EE0F28">
              <w:rPr>
                <w:b/>
              </w:rPr>
              <w:t xml:space="preserve"> Business</w:t>
            </w:r>
          </w:p>
        </w:tc>
      </w:tr>
      <w:tr w:rsidR="007B2A81" w:rsidTr="00951318">
        <w:tc>
          <w:tcPr>
            <w:tcW w:w="730" w:type="dxa"/>
          </w:tcPr>
          <w:p w:rsidR="007B2A81" w:rsidRPr="0018138B" w:rsidRDefault="007B2A81" w:rsidP="005040BE">
            <w:pPr>
              <w:pStyle w:val="NoSpacing"/>
              <w:rPr>
                <w:b/>
              </w:rPr>
            </w:pPr>
          </w:p>
        </w:tc>
        <w:tc>
          <w:tcPr>
            <w:tcW w:w="9728" w:type="dxa"/>
          </w:tcPr>
          <w:p w:rsidR="007B2A81" w:rsidRDefault="00366BCC" w:rsidP="00D749DA">
            <w:pPr>
              <w:pStyle w:val="NoSpacing"/>
              <w:numPr>
                <w:ilvl w:val="0"/>
                <w:numId w:val="15"/>
              </w:numPr>
            </w:pPr>
            <w:r>
              <w:t xml:space="preserve">CFLR Coalition Update:  </w:t>
            </w:r>
          </w:p>
          <w:p w:rsidR="00366BCC" w:rsidRPr="00B4318B" w:rsidRDefault="00366BCC" w:rsidP="00366BCC">
            <w:pPr>
              <w:pStyle w:val="NoSpacing"/>
            </w:pPr>
          </w:p>
        </w:tc>
      </w:tr>
      <w:tr w:rsidR="007B2A81" w:rsidTr="00951318">
        <w:tc>
          <w:tcPr>
            <w:tcW w:w="730" w:type="dxa"/>
          </w:tcPr>
          <w:p w:rsidR="007B2A81" w:rsidRPr="0018138B" w:rsidRDefault="007B2A81" w:rsidP="00117FA3">
            <w:pPr>
              <w:pStyle w:val="NoSpacing"/>
              <w:rPr>
                <w:b/>
              </w:rPr>
            </w:pPr>
          </w:p>
        </w:tc>
        <w:tc>
          <w:tcPr>
            <w:tcW w:w="9728" w:type="dxa"/>
          </w:tcPr>
          <w:p w:rsidR="007B2A81" w:rsidRDefault="007B2A81" w:rsidP="00164DEE">
            <w:pPr>
              <w:pStyle w:val="NoSpacing"/>
              <w:numPr>
                <w:ilvl w:val="0"/>
                <w:numId w:val="15"/>
              </w:numPr>
            </w:pPr>
            <w:r>
              <w:t>Mokelumne Avoided Cost Analysis Update</w:t>
            </w:r>
            <w:r w:rsidR="00366BCC">
              <w:t>:</w:t>
            </w:r>
            <w:r w:rsidR="00CB4EA1">
              <w:t xml:space="preserve">  Nick from SNC provided a brief status overview of the project and distributed fire regime maps and gave a description of each.  He answered meeting participant questions.</w:t>
            </w:r>
          </w:p>
          <w:p w:rsidR="00366BCC" w:rsidRDefault="00366BCC" w:rsidP="00366BCC">
            <w:pPr>
              <w:pStyle w:val="NoSpacing"/>
            </w:pPr>
          </w:p>
        </w:tc>
      </w:tr>
      <w:tr w:rsidR="007B2A81" w:rsidTr="00951318">
        <w:tc>
          <w:tcPr>
            <w:tcW w:w="730" w:type="dxa"/>
          </w:tcPr>
          <w:p w:rsidR="007B2A81" w:rsidRPr="0018138B" w:rsidRDefault="007B2A81" w:rsidP="00117FA3">
            <w:pPr>
              <w:pStyle w:val="NoSpacing"/>
              <w:rPr>
                <w:b/>
              </w:rPr>
            </w:pPr>
          </w:p>
        </w:tc>
        <w:tc>
          <w:tcPr>
            <w:tcW w:w="9728" w:type="dxa"/>
          </w:tcPr>
          <w:p w:rsidR="007B2A81" w:rsidRDefault="007B2A81" w:rsidP="00164DEE">
            <w:pPr>
              <w:pStyle w:val="NoSpacing"/>
              <w:numPr>
                <w:ilvl w:val="0"/>
                <w:numId w:val="15"/>
              </w:numPr>
            </w:pPr>
            <w:r>
              <w:t>Update and Discussion on Forest Service FY 2013 Budgets</w:t>
            </w:r>
            <w:r w:rsidR="00366BCC">
              <w:t xml:space="preserve">: </w:t>
            </w:r>
            <w:r w:rsidR="00CB4EA1">
              <w:br/>
              <w:t>Tabled until January meeting</w:t>
            </w:r>
          </w:p>
          <w:p w:rsidR="00366BCC" w:rsidRPr="00B4318B" w:rsidRDefault="00366BCC" w:rsidP="00366BCC">
            <w:pPr>
              <w:pStyle w:val="NoSpacing"/>
            </w:pPr>
          </w:p>
        </w:tc>
      </w:tr>
      <w:tr w:rsidR="007B2A81" w:rsidRPr="00D749DA" w:rsidTr="00951318">
        <w:tc>
          <w:tcPr>
            <w:tcW w:w="730" w:type="dxa"/>
          </w:tcPr>
          <w:p w:rsidR="007B2A81" w:rsidRPr="00D749DA" w:rsidRDefault="007B2A81" w:rsidP="00117FA3">
            <w:pPr>
              <w:pStyle w:val="NoSpacing"/>
            </w:pPr>
          </w:p>
        </w:tc>
        <w:tc>
          <w:tcPr>
            <w:tcW w:w="9728" w:type="dxa"/>
          </w:tcPr>
          <w:p w:rsidR="007B2A81" w:rsidRDefault="007B2A81" w:rsidP="00D749DA">
            <w:pPr>
              <w:pStyle w:val="NoSpacing"/>
              <w:numPr>
                <w:ilvl w:val="0"/>
                <w:numId w:val="15"/>
              </w:numPr>
            </w:pPr>
            <w:r w:rsidRPr="00D749DA">
              <w:t>Presentation on SB 1122 – T. Mason</w:t>
            </w:r>
            <w:r w:rsidR="00366BCC">
              <w:t>:</w:t>
            </w:r>
            <w:r w:rsidR="00CB4EA1">
              <w:t xml:space="preserve">  </w:t>
            </w:r>
            <w:r w:rsidR="00CB4EA1">
              <w:br/>
              <w:t>(See Operations WG item above)</w:t>
            </w:r>
          </w:p>
          <w:p w:rsidR="00366BCC" w:rsidRPr="00D749DA" w:rsidRDefault="00366BCC" w:rsidP="00366BCC">
            <w:pPr>
              <w:pStyle w:val="NoSpacing"/>
            </w:pPr>
          </w:p>
        </w:tc>
      </w:tr>
      <w:tr w:rsidR="007B2A81" w:rsidTr="00951318">
        <w:tc>
          <w:tcPr>
            <w:tcW w:w="730" w:type="dxa"/>
          </w:tcPr>
          <w:p w:rsidR="007B2A81" w:rsidRPr="0018138B" w:rsidRDefault="007B2A81" w:rsidP="00117FA3">
            <w:pPr>
              <w:pStyle w:val="NoSpacing"/>
              <w:rPr>
                <w:b/>
              </w:rPr>
            </w:pPr>
            <w:r w:rsidRPr="0018138B">
              <w:rPr>
                <w:b/>
              </w:rPr>
              <w:t>VI</w:t>
            </w:r>
            <w:r>
              <w:rPr>
                <w:b/>
              </w:rPr>
              <w:t>II</w:t>
            </w:r>
            <w:r w:rsidRPr="0018138B">
              <w:rPr>
                <w:b/>
              </w:rPr>
              <w:t>.</w:t>
            </w:r>
          </w:p>
        </w:tc>
        <w:tc>
          <w:tcPr>
            <w:tcW w:w="9728" w:type="dxa"/>
          </w:tcPr>
          <w:p w:rsidR="007B2A81" w:rsidRPr="0018138B" w:rsidRDefault="007B2A81" w:rsidP="00C30B71">
            <w:pPr>
              <w:pStyle w:val="NoSpacing"/>
              <w:rPr>
                <w:b/>
              </w:rPr>
            </w:pPr>
            <w:r>
              <w:rPr>
                <w:b/>
              </w:rPr>
              <w:t>New Business</w:t>
            </w:r>
          </w:p>
        </w:tc>
      </w:tr>
      <w:tr w:rsidR="007B2A81" w:rsidTr="00951318">
        <w:tc>
          <w:tcPr>
            <w:tcW w:w="730" w:type="dxa"/>
          </w:tcPr>
          <w:p w:rsidR="007B2A81" w:rsidRDefault="007B2A81" w:rsidP="00C30B71">
            <w:pPr>
              <w:pStyle w:val="NoSpacing"/>
            </w:pPr>
          </w:p>
        </w:tc>
        <w:tc>
          <w:tcPr>
            <w:tcW w:w="9728" w:type="dxa"/>
          </w:tcPr>
          <w:p w:rsidR="007B2A81" w:rsidRDefault="007B2A81" w:rsidP="00D749DA">
            <w:pPr>
              <w:pStyle w:val="NoSpacing"/>
              <w:numPr>
                <w:ilvl w:val="0"/>
                <w:numId w:val="9"/>
              </w:numPr>
            </w:pPr>
            <w:r>
              <w:t>Year-End Report on Buena Vista Biomass Power CRC Monitoring</w:t>
            </w:r>
            <w:r w:rsidR="00366BCC">
              <w:t>:</w:t>
            </w:r>
            <w:r w:rsidR="00CB4EA1">
              <w:br/>
              <w:t>Tabled until January</w:t>
            </w:r>
          </w:p>
          <w:p w:rsidR="00366BCC" w:rsidRDefault="00366BCC" w:rsidP="00366BCC">
            <w:pPr>
              <w:pStyle w:val="NoSpacing"/>
            </w:pPr>
          </w:p>
        </w:tc>
      </w:tr>
      <w:tr w:rsidR="007B2A81" w:rsidTr="00951318">
        <w:trPr>
          <w:trHeight w:val="305"/>
        </w:trPr>
        <w:tc>
          <w:tcPr>
            <w:tcW w:w="730" w:type="dxa"/>
          </w:tcPr>
          <w:p w:rsidR="007B2A81" w:rsidRPr="00FA3FD8" w:rsidRDefault="007B2A81" w:rsidP="00C30B71">
            <w:pPr>
              <w:pStyle w:val="NoSpacing"/>
              <w:rPr>
                <w:b/>
              </w:rPr>
            </w:pPr>
            <w:r>
              <w:rPr>
                <w:b/>
              </w:rPr>
              <w:t>IX.</w:t>
            </w:r>
          </w:p>
        </w:tc>
        <w:tc>
          <w:tcPr>
            <w:tcW w:w="9728" w:type="dxa"/>
          </w:tcPr>
          <w:p w:rsidR="007B2A81" w:rsidRPr="00FA3FD8" w:rsidRDefault="007B2A81" w:rsidP="00C30B71">
            <w:pPr>
              <w:pStyle w:val="NoSpacing"/>
              <w:rPr>
                <w:b/>
              </w:rPr>
            </w:pPr>
            <w:r>
              <w:rPr>
                <w:b/>
              </w:rPr>
              <w:t xml:space="preserve">ACCG </w:t>
            </w:r>
            <w:r w:rsidRPr="00FA3FD8">
              <w:rPr>
                <w:b/>
              </w:rPr>
              <w:t>Partner Reports</w:t>
            </w:r>
          </w:p>
        </w:tc>
      </w:tr>
      <w:tr w:rsidR="007B2A81" w:rsidTr="00951318">
        <w:tc>
          <w:tcPr>
            <w:tcW w:w="730" w:type="dxa"/>
          </w:tcPr>
          <w:p w:rsidR="007B2A81" w:rsidRDefault="007B2A81" w:rsidP="00C30B71">
            <w:pPr>
              <w:pStyle w:val="NoSpacing"/>
            </w:pPr>
          </w:p>
        </w:tc>
        <w:tc>
          <w:tcPr>
            <w:tcW w:w="9728" w:type="dxa"/>
          </w:tcPr>
          <w:p w:rsidR="007B2A81" w:rsidRDefault="007B2A81" w:rsidP="00555A6D">
            <w:pPr>
              <w:pStyle w:val="NoSpacing"/>
              <w:numPr>
                <w:ilvl w:val="0"/>
                <w:numId w:val="10"/>
              </w:numPr>
            </w:pPr>
            <w:r>
              <w:t>Brief u</w:t>
            </w:r>
            <w:r w:rsidR="00366BCC">
              <w:t>pdates from those in attendance</w:t>
            </w:r>
            <w:proofErr w:type="gramStart"/>
            <w:r w:rsidR="00366BCC">
              <w:t>:</w:t>
            </w:r>
            <w:proofErr w:type="gramEnd"/>
            <w:r w:rsidR="00CB4EA1">
              <w:br/>
              <w:t>The Calaveras and Amador Ranger Districts presented Rick Breeze-Martin with a going away Certificate of Appreciation for his inv</w:t>
            </w:r>
            <w:r w:rsidR="00317A7A">
              <w:t>olvement with ACCG work.</w:t>
            </w:r>
            <w:bookmarkStart w:id="0" w:name="_GoBack"/>
            <w:bookmarkEnd w:id="0"/>
          </w:p>
          <w:p w:rsidR="00366BCC" w:rsidRDefault="00366BCC" w:rsidP="00366BCC">
            <w:pPr>
              <w:pStyle w:val="NoSpacing"/>
            </w:pPr>
          </w:p>
        </w:tc>
      </w:tr>
      <w:tr w:rsidR="007B2A81" w:rsidTr="00951318">
        <w:tc>
          <w:tcPr>
            <w:tcW w:w="730" w:type="dxa"/>
          </w:tcPr>
          <w:p w:rsidR="007B2A81" w:rsidRPr="00A81D8B" w:rsidRDefault="007B2A81" w:rsidP="00C30B71">
            <w:pPr>
              <w:pStyle w:val="NoSpacing"/>
              <w:rPr>
                <w:b/>
              </w:rPr>
            </w:pPr>
            <w:r w:rsidRPr="00A81D8B">
              <w:rPr>
                <w:b/>
              </w:rPr>
              <w:t>X.</w:t>
            </w:r>
          </w:p>
        </w:tc>
        <w:tc>
          <w:tcPr>
            <w:tcW w:w="9728" w:type="dxa"/>
          </w:tcPr>
          <w:p w:rsidR="007B2A81" w:rsidRPr="00366BCC" w:rsidRDefault="007B2A81" w:rsidP="00C30B71">
            <w:pPr>
              <w:pStyle w:val="NoSpacing"/>
            </w:pPr>
            <w:r>
              <w:rPr>
                <w:b/>
              </w:rPr>
              <w:t xml:space="preserve">Current </w:t>
            </w:r>
            <w:r w:rsidRPr="00A81D8B">
              <w:rPr>
                <w:b/>
              </w:rPr>
              <w:t>Meeting Action Items Review</w:t>
            </w:r>
            <w:r w:rsidR="00CB4EA1">
              <w:rPr>
                <w:b/>
              </w:rPr>
              <w:t xml:space="preserve">:  </w:t>
            </w:r>
            <w:r w:rsidR="00CB4EA1">
              <w:br/>
              <w:t>Rick reviewed the meeting action items listed above.</w:t>
            </w:r>
            <w:r w:rsidR="00366BCC">
              <w:rPr>
                <w:b/>
              </w:rPr>
              <w:br/>
            </w:r>
          </w:p>
        </w:tc>
      </w:tr>
      <w:tr w:rsidR="007B2A81" w:rsidTr="00951318">
        <w:tc>
          <w:tcPr>
            <w:tcW w:w="730" w:type="dxa"/>
          </w:tcPr>
          <w:p w:rsidR="007B2A81" w:rsidRPr="00845BA6" w:rsidRDefault="007B2A81" w:rsidP="006F680C">
            <w:pPr>
              <w:pStyle w:val="NoSpacing"/>
              <w:rPr>
                <w:b/>
              </w:rPr>
            </w:pPr>
            <w:r w:rsidRPr="00845BA6">
              <w:rPr>
                <w:b/>
              </w:rPr>
              <w:t>X</w:t>
            </w:r>
            <w:r>
              <w:rPr>
                <w:b/>
              </w:rPr>
              <w:t>I</w:t>
            </w:r>
            <w:r w:rsidRPr="00845BA6">
              <w:rPr>
                <w:b/>
              </w:rPr>
              <w:t>.</w:t>
            </w:r>
          </w:p>
        </w:tc>
        <w:tc>
          <w:tcPr>
            <w:tcW w:w="9728" w:type="dxa"/>
          </w:tcPr>
          <w:p w:rsidR="007B2A81" w:rsidRPr="00845BA6" w:rsidRDefault="007B2A81" w:rsidP="00366BCC">
            <w:pPr>
              <w:pStyle w:val="NoSpacing"/>
              <w:rPr>
                <w:b/>
              </w:rPr>
            </w:pPr>
            <w:r w:rsidRPr="00845BA6">
              <w:rPr>
                <w:b/>
              </w:rPr>
              <w:t>Adjourn</w:t>
            </w:r>
            <w:r>
              <w:rPr>
                <w:b/>
              </w:rPr>
              <w:t xml:space="preserve"> – </w:t>
            </w:r>
            <w:r w:rsidRPr="00555A6D">
              <w:rPr>
                <w:b/>
                <w:i/>
              </w:rPr>
              <w:t xml:space="preserve">Next meeting in </w:t>
            </w:r>
            <w:r>
              <w:rPr>
                <w:b/>
                <w:i/>
              </w:rPr>
              <w:t>Calaveras</w:t>
            </w:r>
            <w:r w:rsidRPr="00555A6D">
              <w:rPr>
                <w:b/>
                <w:i/>
              </w:rPr>
              <w:t xml:space="preserve"> County on </w:t>
            </w:r>
            <w:r w:rsidR="00366BCC">
              <w:rPr>
                <w:b/>
                <w:i/>
              </w:rPr>
              <w:t>January 16, 2013</w:t>
            </w:r>
            <w:r>
              <w:rPr>
                <w:b/>
                <w:i/>
              </w:rPr>
              <w:t xml:space="preserve">  </w:t>
            </w:r>
          </w:p>
        </w:tc>
      </w:tr>
    </w:tbl>
    <w:p w:rsidR="00932EDC" w:rsidRDefault="00932EDC" w:rsidP="006F680C">
      <w:pPr>
        <w:pStyle w:val="NoSpacing"/>
      </w:pPr>
    </w:p>
    <w:sectPr w:rsidR="00932EDC" w:rsidSect="003B1C49">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96" w:rsidRDefault="00557196" w:rsidP="00932EDC">
      <w:pPr>
        <w:spacing w:after="0" w:line="240" w:lineRule="auto"/>
      </w:pPr>
      <w:r>
        <w:separator/>
      </w:r>
    </w:p>
  </w:endnote>
  <w:endnote w:type="continuationSeparator" w:id="0">
    <w:p w:rsidR="00557196" w:rsidRDefault="00557196"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FB" w:rsidRDefault="00C927FB">
    <w:pPr>
      <w:pStyle w:val="Footer"/>
    </w:pPr>
    <w:r>
      <w:tab/>
    </w:r>
    <w:r>
      <w:tab/>
      <w:t xml:space="preserve">Page </w:t>
    </w:r>
    <w:r w:rsidR="00A32017">
      <w:fldChar w:fldCharType="begin"/>
    </w:r>
    <w:r w:rsidR="00557196">
      <w:instrText xml:space="preserve"> PAGE   \* MERGEFORMAT </w:instrText>
    </w:r>
    <w:r w:rsidR="00A32017">
      <w:fldChar w:fldCharType="separate"/>
    </w:r>
    <w:r w:rsidR="006269C4">
      <w:rPr>
        <w:noProof/>
      </w:rPr>
      <w:t>1</w:t>
    </w:r>
    <w:r w:rsidR="00A3201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96" w:rsidRDefault="00557196" w:rsidP="00932EDC">
      <w:pPr>
        <w:spacing w:after="0" w:line="240" w:lineRule="auto"/>
      </w:pPr>
      <w:r>
        <w:separator/>
      </w:r>
    </w:p>
  </w:footnote>
  <w:footnote w:type="continuationSeparator" w:id="0">
    <w:p w:rsidR="00557196" w:rsidRDefault="00557196"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FB" w:rsidRPr="00FA3FD8" w:rsidRDefault="00C927FB" w:rsidP="00FA3FD8">
    <w:pPr>
      <w:pStyle w:val="Header"/>
      <w:jc w:val="center"/>
      <w:rPr>
        <w:b/>
        <w:sz w:val="32"/>
        <w:szCs w:val="32"/>
      </w:rPr>
    </w:pPr>
    <w:r w:rsidRPr="00FA3FD8">
      <w:rPr>
        <w:b/>
        <w:sz w:val="32"/>
        <w:szCs w:val="32"/>
      </w:rPr>
      <w:t>Amador Calaveras Consensus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367CA"/>
    <w:multiLevelType w:val="hybridMultilevel"/>
    <w:tmpl w:val="853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5"/>
  </w:num>
  <w:num w:numId="5">
    <w:abstractNumId w:val="15"/>
  </w:num>
  <w:num w:numId="6">
    <w:abstractNumId w:val="7"/>
  </w:num>
  <w:num w:numId="7">
    <w:abstractNumId w:val="6"/>
  </w:num>
  <w:num w:numId="8">
    <w:abstractNumId w:val="8"/>
  </w:num>
  <w:num w:numId="9">
    <w:abstractNumId w:val="13"/>
  </w:num>
  <w:num w:numId="10">
    <w:abstractNumId w:val="2"/>
  </w:num>
  <w:num w:numId="11">
    <w:abstractNumId w:val="4"/>
  </w:num>
  <w:num w:numId="12">
    <w:abstractNumId w:val="9"/>
  </w:num>
  <w:num w:numId="13">
    <w:abstractNumId w:val="14"/>
  </w:num>
  <w:num w:numId="14">
    <w:abstractNumId w:val="3"/>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6F680C"/>
    <w:rsid w:val="000150BF"/>
    <w:rsid w:val="00021D6D"/>
    <w:rsid w:val="000477A8"/>
    <w:rsid w:val="000821E0"/>
    <w:rsid w:val="00085DEA"/>
    <w:rsid w:val="000A0AEF"/>
    <w:rsid w:val="000A635C"/>
    <w:rsid w:val="000B168C"/>
    <w:rsid w:val="000F55EC"/>
    <w:rsid w:val="00111793"/>
    <w:rsid w:val="001141DD"/>
    <w:rsid w:val="00117FA3"/>
    <w:rsid w:val="00141B17"/>
    <w:rsid w:val="00145E3B"/>
    <w:rsid w:val="00155426"/>
    <w:rsid w:val="00164DEE"/>
    <w:rsid w:val="001725A7"/>
    <w:rsid w:val="0018138B"/>
    <w:rsid w:val="001943E5"/>
    <w:rsid w:val="001C67DE"/>
    <w:rsid w:val="002016D0"/>
    <w:rsid w:val="0022576F"/>
    <w:rsid w:val="00247FBE"/>
    <w:rsid w:val="00257D2F"/>
    <w:rsid w:val="002776A7"/>
    <w:rsid w:val="002E22CF"/>
    <w:rsid w:val="00310CFB"/>
    <w:rsid w:val="00313530"/>
    <w:rsid w:val="00317A7A"/>
    <w:rsid w:val="00320DC8"/>
    <w:rsid w:val="003410CE"/>
    <w:rsid w:val="00360108"/>
    <w:rsid w:val="00366BCC"/>
    <w:rsid w:val="003764F0"/>
    <w:rsid w:val="00381B62"/>
    <w:rsid w:val="00382692"/>
    <w:rsid w:val="003B02F3"/>
    <w:rsid w:val="003B1C49"/>
    <w:rsid w:val="003E2B2E"/>
    <w:rsid w:val="003E34D6"/>
    <w:rsid w:val="003E3A40"/>
    <w:rsid w:val="003F364A"/>
    <w:rsid w:val="003F4959"/>
    <w:rsid w:val="00430061"/>
    <w:rsid w:val="00447C9C"/>
    <w:rsid w:val="004530EB"/>
    <w:rsid w:val="00460A03"/>
    <w:rsid w:val="004878F4"/>
    <w:rsid w:val="004B7280"/>
    <w:rsid w:val="005040BE"/>
    <w:rsid w:val="00506047"/>
    <w:rsid w:val="00523F60"/>
    <w:rsid w:val="00545FB5"/>
    <w:rsid w:val="00555A6D"/>
    <w:rsid w:val="00557196"/>
    <w:rsid w:val="00565B86"/>
    <w:rsid w:val="005A4FC6"/>
    <w:rsid w:val="005B0426"/>
    <w:rsid w:val="005B1B9B"/>
    <w:rsid w:val="005C40D4"/>
    <w:rsid w:val="005D3235"/>
    <w:rsid w:val="005D4D47"/>
    <w:rsid w:val="00607831"/>
    <w:rsid w:val="00613D04"/>
    <w:rsid w:val="006269C4"/>
    <w:rsid w:val="006559ED"/>
    <w:rsid w:val="006918AE"/>
    <w:rsid w:val="00694623"/>
    <w:rsid w:val="00695B3D"/>
    <w:rsid w:val="006E05C3"/>
    <w:rsid w:val="006F3360"/>
    <w:rsid w:val="006F680C"/>
    <w:rsid w:val="00710DEE"/>
    <w:rsid w:val="00744F32"/>
    <w:rsid w:val="00746EDD"/>
    <w:rsid w:val="007B2A81"/>
    <w:rsid w:val="0080259E"/>
    <w:rsid w:val="00806901"/>
    <w:rsid w:val="00810B99"/>
    <w:rsid w:val="008175F8"/>
    <w:rsid w:val="00821BF8"/>
    <w:rsid w:val="00845BA6"/>
    <w:rsid w:val="008537D2"/>
    <w:rsid w:val="008849CF"/>
    <w:rsid w:val="00912F60"/>
    <w:rsid w:val="0092018E"/>
    <w:rsid w:val="00932EDC"/>
    <w:rsid w:val="00951318"/>
    <w:rsid w:val="009C49E4"/>
    <w:rsid w:val="009D7AFB"/>
    <w:rsid w:val="009F735C"/>
    <w:rsid w:val="00A10641"/>
    <w:rsid w:val="00A262F2"/>
    <w:rsid w:val="00A32017"/>
    <w:rsid w:val="00A409CE"/>
    <w:rsid w:val="00A60D2E"/>
    <w:rsid w:val="00A764B8"/>
    <w:rsid w:val="00A81D8B"/>
    <w:rsid w:val="00A83177"/>
    <w:rsid w:val="00A931AB"/>
    <w:rsid w:val="00AC270A"/>
    <w:rsid w:val="00AE7BF9"/>
    <w:rsid w:val="00AF6E14"/>
    <w:rsid w:val="00B224C2"/>
    <w:rsid w:val="00B4318B"/>
    <w:rsid w:val="00B433FF"/>
    <w:rsid w:val="00B542F7"/>
    <w:rsid w:val="00BD22EA"/>
    <w:rsid w:val="00BF327C"/>
    <w:rsid w:val="00C30B71"/>
    <w:rsid w:val="00C33829"/>
    <w:rsid w:val="00C50E8B"/>
    <w:rsid w:val="00C927FB"/>
    <w:rsid w:val="00C95098"/>
    <w:rsid w:val="00CB4EA1"/>
    <w:rsid w:val="00CD7BDD"/>
    <w:rsid w:val="00CE389F"/>
    <w:rsid w:val="00D076EB"/>
    <w:rsid w:val="00D242FB"/>
    <w:rsid w:val="00D52530"/>
    <w:rsid w:val="00D749DA"/>
    <w:rsid w:val="00DA4051"/>
    <w:rsid w:val="00DA55EC"/>
    <w:rsid w:val="00E852BD"/>
    <w:rsid w:val="00E93677"/>
    <w:rsid w:val="00EA3CBC"/>
    <w:rsid w:val="00EC3A63"/>
    <w:rsid w:val="00EC70AA"/>
    <w:rsid w:val="00ED137F"/>
    <w:rsid w:val="00ED13C9"/>
    <w:rsid w:val="00ED49B6"/>
    <w:rsid w:val="00EE0F28"/>
    <w:rsid w:val="00F74AD9"/>
    <w:rsid w:val="00F77708"/>
    <w:rsid w:val="00F8063D"/>
    <w:rsid w:val="00FA3FD8"/>
    <w:rsid w:val="00FC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bsanders</cp:lastModifiedBy>
  <cp:revision>3</cp:revision>
  <cp:lastPrinted>2012-06-19T22:41:00Z</cp:lastPrinted>
  <dcterms:created xsi:type="dcterms:W3CDTF">2012-12-18T17:55:00Z</dcterms:created>
  <dcterms:modified xsi:type="dcterms:W3CDTF">2012-12-26T23:24:00Z</dcterms:modified>
</cp:coreProperties>
</file>