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18" w:rsidRPr="00E97009" w:rsidRDefault="00AD5B02" w:rsidP="00AD5B02">
      <w:pPr>
        <w:spacing w:after="0" w:line="240" w:lineRule="auto"/>
        <w:rPr>
          <w:b/>
          <w:sz w:val="24"/>
          <w:szCs w:val="24"/>
        </w:rPr>
      </w:pPr>
      <w:r w:rsidRPr="00E97009">
        <w:rPr>
          <w:b/>
          <w:sz w:val="24"/>
          <w:szCs w:val="24"/>
        </w:rPr>
        <w:t>Amador Calaveras Consensus Group</w:t>
      </w:r>
    </w:p>
    <w:p w:rsidR="00AD5B02" w:rsidRPr="00E97009" w:rsidRDefault="00AD5B02" w:rsidP="00AD5B02">
      <w:pPr>
        <w:spacing w:after="0" w:line="240" w:lineRule="auto"/>
        <w:rPr>
          <w:b/>
          <w:sz w:val="24"/>
          <w:szCs w:val="24"/>
        </w:rPr>
      </w:pPr>
      <w:r w:rsidRPr="00E97009">
        <w:rPr>
          <w:b/>
          <w:sz w:val="24"/>
          <w:szCs w:val="24"/>
        </w:rPr>
        <w:t>Operations Work Group Meeting – March 13, 2014</w:t>
      </w:r>
    </w:p>
    <w:p w:rsidR="00AD5B02" w:rsidRPr="00E97009" w:rsidRDefault="00AD5B02" w:rsidP="00AD5B02">
      <w:pPr>
        <w:spacing w:after="0" w:line="240" w:lineRule="auto"/>
        <w:rPr>
          <w:b/>
          <w:sz w:val="24"/>
          <w:szCs w:val="24"/>
        </w:rPr>
      </w:pPr>
    </w:p>
    <w:p w:rsidR="00AD5B02" w:rsidRDefault="00AD5B02" w:rsidP="00AD5B02">
      <w:pPr>
        <w:spacing w:after="0" w:line="240" w:lineRule="auto"/>
        <w:rPr>
          <w:sz w:val="24"/>
          <w:szCs w:val="24"/>
        </w:rPr>
      </w:pPr>
      <w:r w:rsidRPr="00E97009">
        <w:rPr>
          <w:b/>
          <w:sz w:val="24"/>
          <w:szCs w:val="24"/>
        </w:rPr>
        <w:t>ATTENDEES</w:t>
      </w:r>
      <w:r>
        <w:rPr>
          <w:sz w:val="24"/>
          <w:szCs w:val="24"/>
        </w:rPr>
        <w:t>:  Kristan Ingebretsen, SBA; Pat Ferrell, FS; M Gagnon, FS; Joe Sherlock, FS; Tim Bordges; Merv Vicini; Sheri Elliott, FS; Sarah Ackerman, FS; G &amp; N Gladen; C. Loffland, FS; J. Griffin; M. Young, FS; K Evatt; S. Wilensky; T McClung, FS; K Zeman, FS; J Heissenbuttel; J. Hofmann, Amador County; R. Woods, FS; Rick Hopson, FS; C Koos Breazeal; J Kusel.</w:t>
      </w:r>
    </w:p>
    <w:p w:rsidR="00AD5B02" w:rsidRDefault="00AD5B02" w:rsidP="00AD5B02">
      <w:pPr>
        <w:spacing w:after="0" w:line="240" w:lineRule="auto"/>
        <w:rPr>
          <w:sz w:val="24"/>
          <w:szCs w:val="24"/>
        </w:rPr>
      </w:pPr>
    </w:p>
    <w:p w:rsidR="00AD5B02" w:rsidRPr="00E97009" w:rsidRDefault="00AD5B02" w:rsidP="00AD5B02">
      <w:pPr>
        <w:spacing w:after="0" w:line="240" w:lineRule="auto"/>
        <w:rPr>
          <w:i/>
          <w:sz w:val="24"/>
          <w:szCs w:val="24"/>
        </w:rPr>
      </w:pPr>
      <w:r w:rsidRPr="00E97009">
        <w:rPr>
          <w:i/>
          <w:sz w:val="24"/>
          <w:szCs w:val="24"/>
        </w:rPr>
        <w:t>[Please note:  meeting notes were only taken after 11:30 a.m.]</w:t>
      </w:r>
    </w:p>
    <w:p w:rsidR="00AD5B02" w:rsidRPr="00E97009" w:rsidRDefault="00AD5B02" w:rsidP="00AD5B02">
      <w:pPr>
        <w:spacing w:after="0" w:line="240" w:lineRule="auto"/>
        <w:rPr>
          <w:i/>
          <w:sz w:val="24"/>
          <w:szCs w:val="24"/>
        </w:rPr>
      </w:pPr>
    </w:p>
    <w:p w:rsidR="00942E1B" w:rsidRDefault="00AD5B02" w:rsidP="00942E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97009">
        <w:rPr>
          <w:sz w:val="24"/>
          <w:szCs w:val="24"/>
        </w:rPr>
        <w:t xml:space="preserve"> Kristan Ingebretsen, SBA:  presentation on Hub Zone program and services provided by Small Business Administration (handout provided).  Hub Zones are historically underutilized business zones</w:t>
      </w:r>
      <w:r w:rsidR="00942E1B" w:rsidRPr="00E97009">
        <w:rPr>
          <w:sz w:val="24"/>
          <w:szCs w:val="24"/>
        </w:rPr>
        <w:t xml:space="preserve"> and include Amador, Calaveras, Tuolumne and Alpine counties.  Registration is required through SAM.  Woman-owned – self certify, 51%+ in 83 specific NAICS 4-digit code underrepresented industries.</w:t>
      </w:r>
      <w:r w:rsidR="00E97009" w:rsidRPr="00E97009">
        <w:rPr>
          <w:sz w:val="24"/>
          <w:szCs w:val="24"/>
        </w:rPr>
        <w:t xml:space="preserve">  </w:t>
      </w:r>
      <w:r w:rsidR="00942E1B" w:rsidRPr="00E97009">
        <w:rPr>
          <w:sz w:val="24"/>
          <w:szCs w:val="24"/>
        </w:rPr>
        <w:t>Federal contracting officers can restrict and have additional flexibility for awards</w:t>
      </w:r>
      <w:r w:rsidR="00E97009" w:rsidRPr="00E97009">
        <w:rPr>
          <w:sz w:val="24"/>
          <w:szCs w:val="24"/>
        </w:rPr>
        <w:t>.</w:t>
      </w:r>
    </w:p>
    <w:p w:rsidR="00E97009" w:rsidRDefault="00E97009" w:rsidP="00E97009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97009" w:rsidRDefault="00E97009" w:rsidP="00E97009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Small business assistance – Delta College:  www.sbcddelatacollege.edu </w:t>
      </w:r>
    </w:p>
    <w:p w:rsidR="00E97009" w:rsidRDefault="00E97009" w:rsidP="00E97009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SCORE – free business assistance by retired executives, Stockton chapter, 946-6293</w:t>
      </w:r>
    </w:p>
    <w:p w:rsidR="00E97009" w:rsidRDefault="00E97009" w:rsidP="00E97009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97009" w:rsidRDefault="00E97009" w:rsidP="00E970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Sarah Ackerman, USFS CFLR contracting officer, Malheur NF, Region 6, Oregon.  Contracting officers can give added weight to “local.”  For her area, “local” is defined as the two immediate counties; the next “local” would be those counties surrounding the immediate counties, etc.  This does not restrict only to those local counties, but if a contractor from out of those target counties bids, s/he must explain how their contract dollars will help those two counties.  FS then determines the impact – how realistic is their proposal?  They will conduct </w:t>
      </w:r>
      <w:r w:rsidR="00E03244">
        <w:rPr>
          <w:sz w:val="24"/>
          <w:szCs w:val="24"/>
        </w:rPr>
        <w:t xml:space="preserve">random </w:t>
      </w:r>
      <w:r>
        <w:rPr>
          <w:sz w:val="24"/>
          <w:szCs w:val="24"/>
        </w:rPr>
        <w:t xml:space="preserve">field labor interviews to check and get proof.  CO discretion – CFLR does not specify a percentage.  She uses 90%.  She often pushes authority with technical and other factors being weighted more than the dollar bid – best value determination.  There is some potential for negotiation at certain times.  </w:t>
      </w:r>
    </w:p>
    <w:p w:rsidR="00E97009" w:rsidRDefault="00E97009" w:rsidP="00E97009">
      <w:pPr>
        <w:spacing w:after="0" w:line="240" w:lineRule="auto"/>
        <w:rPr>
          <w:sz w:val="24"/>
          <w:szCs w:val="24"/>
        </w:rPr>
      </w:pPr>
    </w:p>
    <w:p w:rsidR="00E97009" w:rsidRPr="00E97009" w:rsidRDefault="00E97009" w:rsidP="00E9700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Evaluation factors are tailored to each project.  4 restrictions:  hazardous fuels, watershed, water quality, thinning.  Mostly services and stewardship, no size limit.</w:t>
      </w:r>
    </w:p>
    <w:p w:rsidR="00E97009" w:rsidRDefault="00E97009" w:rsidP="00E97009">
      <w:pPr>
        <w:spacing w:after="0" w:line="240" w:lineRule="auto"/>
        <w:rPr>
          <w:sz w:val="24"/>
          <w:szCs w:val="24"/>
        </w:rPr>
      </w:pPr>
    </w:p>
    <w:p w:rsidR="00E97009" w:rsidRDefault="00E97009" w:rsidP="00E9700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Definition of economically challenges comes from Public Law 101-624, Section 2374</w:t>
      </w:r>
    </w:p>
    <w:p w:rsidR="00353C76" w:rsidRDefault="00353C76" w:rsidP="00E97009">
      <w:pPr>
        <w:spacing w:after="0" w:line="240" w:lineRule="auto"/>
        <w:ind w:left="360"/>
        <w:rPr>
          <w:sz w:val="24"/>
          <w:szCs w:val="24"/>
        </w:rPr>
      </w:pPr>
    </w:p>
    <w:p w:rsidR="00353C76" w:rsidRDefault="00353C76" w:rsidP="00E9700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Question:  will Regional Office staff be willing to work to define “local benefit”?  Response:  cannot move forward without that definition; must stay within the law.</w:t>
      </w:r>
    </w:p>
    <w:p w:rsidR="00353C76" w:rsidRDefault="00353C76" w:rsidP="00E97009">
      <w:pPr>
        <w:spacing w:after="0" w:line="240" w:lineRule="auto"/>
        <w:ind w:left="360"/>
        <w:rPr>
          <w:sz w:val="24"/>
          <w:szCs w:val="24"/>
        </w:rPr>
      </w:pPr>
    </w:p>
    <w:p w:rsidR="00353C76" w:rsidRDefault="00353C76" w:rsidP="00E9700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Question:  prevailing wage?  Response:  depends on location and wage determination.</w:t>
      </w:r>
      <w:r w:rsidR="00E03244">
        <w:rPr>
          <w:sz w:val="24"/>
          <w:szCs w:val="24"/>
        </w:rPr>
        <w:t xml:space="preserve">  Sustainable Northwest helped the Malheur NF with wages and calculating returns to the local economy.</w:t>
      </w:r>
    </w:p>
    <w:p w:rsidR="00353C76" w:rsidRDefault="00353C76" w:rsidP="00E97009">
      <w:pPr>
        <w:spacing w:after="0" w:line="240" w:lineRule="auto"/>
        <w:ind w:left="360"/>
        <w:rPr>
          <w:sz w:val="24"/>
          <w:szCs w:val="24"/>
        </w:rPr>
      </w:pPr>
    </w:p>
    <w:p w:rsidR="00353C76" w:rsidRPr="00E97009" w:rsidRDefault="00353C76" w:rsidP="00E9700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Question:  Can Sarah write us a paragraph describing “Local.”</w:t>
      </w:r>
    </w:p>
    <w:sectPr w:rsidR="00353C76" w:rsidRPr="00E97009" w:rsidSect="003036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44" w:rsidRDefault="00E03244" w:rsidP="00E03244">
      <w:pPr>
        <w:spacing w:after="0" w:line="240" w:lineRule="auto"/>
      </w:pPr>
      <w:r>
        <w:separator/>
      </w:r>
    </w:p>
  </w:endnote>
  <w:endnote w:type="continuationSeparator" w:id="0">
    <w:p w:rsidR="00E03244" w:rsidRDefault="00E03244" w:rsidP="00E0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7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03244" w:rsidRDefault="00E0324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E03244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03244" w:rsidRDefault="00E032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44" w:rsidRDefault="00E03244" w:rsidP="00E03244">
      <w:pPr>
        <w:spacing w:after="0" w:line="240" w:lineRule="auto"/>
      </w:pPr>
      <w:r>
        <w:separator/>
      </w:r>
    </w:p>
  </w:footnote>
  <w:footnote w:type="continuationSeparator" w:id="0">
    <w:p w:rsidR="00E03244" w:rsidRDefault="00E03244" w:rsidP="00E03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10AD"/>
    <w:multiLevelType w:val="hybridMultilevel"/>
    <w:tmpl w:val="0ED2D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B02"/>
    <w:rsid w:val="0004057A"/>
    <w:rsid w:val="00147F29"/>
    <w:rsid w:val="00245286"/>
    <w:rsid w:val="00303618"/>
    <w:rsid w:val="00353C76"/>
    <w:rsid w:val="00445C45"/>
    <w:rsid w:val="00535C56"/>
    <w:rsid w:val="005F36F3"/>
    <w:rsid w:val="0086259F"/>
    <w:rsid w:val="00887887"/>
    <w:rsid w:val="00942E1B"/>
    <w:rsid w:val="00AD00BA"/>
    <w:rsid w:val="00AD5B02"/>
    <w:rsid w:val="00B17773"/>
    <w:rsid w:val="00C9187E"/>
    <w:rsid w:val="00E03244"/>
    <w:rsid w:val="00E97009"/>
    <w:rsid w:val="00F81C2A"/>
    <w:rsid w:val="00FC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3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244"/>
  </w:style>
  <w:style w:type="paragraph" w:styleId="Footer">
    <w:name w:val="footer"/>
    <w:basedOn w:val="Normal"/>
    <w:link w:val="FooterChar"/>
    <w:uiPriority w:val="99"/>
    <w:unhideWhenUsed/>
    <w:rsid w:val="00E03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AmadorFireSafe</cp:lastModifiedBy>
  <cp:revision>1</cp:revision>
  <dcterms:created xsi:type="dcterms:W3CDTF">2014-03-17T21:32:00Z</dcterms:created>
  <dcterms:modified xsi:type="dcterms:W3CDTF">2014-03-17T22:29:00Z</dcterms:modified>
</cp:coreProperties>
</file>