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2EC9E" w14:textId="09CC3055" w:rsidR="00826CAE" w:rsidRPr="00826CAE" w:rsidRDefault="00826CAE" w:rsidP="00826CAE">
      <w:pPr>
        <w:pStyle w:val="Heading1"/>
      </w:pPr>
      <w:bookmarkStart w:id="0" w:name="_GoBack"/>
      <w:bookmarkEnd w:id="0"/>
      <w:r>
        <w:t>C</w:t>
      </w:r>
      <w:r w:rsidR="00841FE5">
        <w:t xml:space="preserve">FLRP Investments: What are we spending and what is the return on our investment? </w:t>
      </w:r>
    </w:p>
    <w:p w14:paraId="0C7C1072" w14:textId="77777777" w:rsidR="00826CAE" w:rsidRDefault="00826CAE" w:rsidP="000C34A8">
      <w:pPr>
        <w:rPr>
          <w:rStyle w:val="IntenseEmphasis"/>
        </w:rPr>
      </w:pPr>
    </w:p>
    <w:p w14:paraId="60E4B51D" w14:textId="3935DEAB" w:rsidR="00826CAE" w:rsidRPr="006755C8" w:rsidRDefault="00C35210" w:rsidP="000C34A8">
      <w:pPr>
        <w:rPr>
          <w:rStyle w:val="IntenseEmphasis"/>
          <w:sz w:val="28"/>
          <w:szCs w:val="28"/>
        </w:rPr>
      </w:pPr>
      <w:r w:rsidRPr="006755C8">
        <w:rPr>
          <w:rStyle w:val="IntenseEmphasis"/>
          <w:sz w:val="28"/>
          <w:szCs w:val="28"/>
        </w:rPr>
        <w:t>CFLRP Projects are a small p</w:t>
      </w:r>
      <w:r w:rsidR="00F663F2" w:rsidRPr="006755C8">
        <w:rPr>
          <w:rStyle w:val="IntenseEmphasis"/>
          <w:sz w:val="28"/>
          <w:szCs w:val="28"/>
        </w:rPr>
        <w:t>art</w:t>
      </w:r>
      <w:r w:rsidRPr="006755C8">
        <w:rPr>
          <w:rStyle w:val="IntenseEmphasis"/>
          <w:sz w:val="28"/>
          <w:szCs w:val="28"/>
        </w:rPr>
        <w:t xml:space="preserve"> of the NFS a</w:t>
      </w:r>
      <w:r w:rsidR="00826CAE" w:rsidRPr="006755C8">
        <w:rPr>
          <w:rStyle w:val="IntenseEmphasis"/>
          <w:sz w:val="28"/>
          <w:szCs w:val="28"/>
        </w:rPr>
        <w:t xml:space="preserve">creage, but </w:t>
      </w:r>
      <w:r w:rsidRPr="006755C8">
        <w:rPr>
          <w:rStyle w:val="IntenseEmphasis"/>
          <w:sz w:val="28"/>
          <w:szCs w:val="28"/>
        </w:rPr>
        <w:t>p</w:t>
      </w:r>
      <w:r w:rsidR="00826CAE" w:rsidRPr="006755C8">
        <w:rPr>
          <w:rStyle w:val="IntenseEmphasis"/>
          <w:sz w:val="28"/>
          <w:szCs w:val="28"/>
        </w:rPr>
        <w:t>roduce</w:t>
      </w:r>
      <w:r w:rsidRPr="006755C8">
        <w:rPr>
          <w:rStyle w:val="IntenseEmphasis"/>
          <w:sz w:val="28"/>
          <w:szCs w:val="28"/>
        </w:rPr>
        <w:t xml:space="preserve"> outsized r</w:t>
      </w:r>
      <w:r w:rsidR="00826CAE" w:rsidRPr="006755C8">
        <w:rPr>
          <w:rStyle w:val="IntenseEmphasis"/>
          <w:sz w:val="28"/>
          <w:szCs w:val="28"/>
        </w:rPr>
        <w:t>esults</w:t>
      </w:r>
    </w:p>
    <w:p w14:paraId="1D8D835C" w14:textId="4C74EE18" w:rsidR="00C35210" w:rsidRDefault="000C34A8" w:rsidP="00C35210">
      <w:r w:rsidRPr="00133770">
        <w:t>Taken together</w:t>
      </w:r>
      <w:r w:rsidR="00C35210">
        <w:t>,</w:t>
      </w:r>
      <w:r w:rsidRPr="00133770">
        <w:t xml:space="preserve"> the NFS acreage </w:t>
      </w:r>
      <w:r w:rsidR="00C35210">
        <w:t>across</w:t>
      </w:r>
      <w:r w:rsidRPr="00133770">
        <w:t xml:space="preserve"> the </w:t>
      </w:r>
      <w:r w:rsidR="00C35210">
        <w:t xml:space="preserve">23 </w:t>
      </w:r>
      <w:r w:rsidR="00AD49DA">
        <w:rPr>
          <w:b/>
        </w:rPr>
        <w:t>CFLRP landscapes represent</w:t>
      </w:r>
      <w:r w:rsidRPr="000C34A8">
        <w:rPr>
          <w:b/>
        </w:rPr>
        <w:t xml:space="preserve"> about </w:t>
      </w:r>
      <w:r w:rsidR="00AD49DA">
        <w:rPr>
          <w:b/>
        </w:rPr>
        <w:t>11.4</w:t>
      </w:r>
      <w:r w:rsidRPr="000C34A8">
        <w:rPr>
          <w:b/>
        </w:rPr>
        <w:t>% of the total</w:t>
      </w:r>
      <w:r w:rsidRPr="00133770">
        <w:t xml:space="preserve"> </w:t>
      </w:r>
      <w:r>
        <w:t>NFS lands</w:t>
      </w:r>
      <w:r w:rsidR="00AD49DA">
        <w:t xml:space="preserve"> not in wilderness or roadless area designation</w:t>
      </w:r>
      <w:r w:rsidRPr="00133770">
        <w:t xml:space="preserve">. </w:t>
      </w:r>
      <w:r w:rsidR="00AD49DA">
        <w:t>CFLR landscape</w:t>
      </w:r>
      <w:r w:rsidRPr="00133770">
        <w:t xml:space="preserve"> acreage represents priority acres for restoration treatment to produce ecological, economic, and social outcomes and outputs – and areas where there is high capacity in place to support </w:t>
      </w:r>
      <w:r w:rsidR="00C35210">
        <w:t>increased returns on investment</w:t>
      </w:r>
      <w:r w:rsidRPr="00133770">
        <w:t xml:space="preserve">. While they are </w:t>
      </w:r>
      <w:r>
        <w:t xml:space="preserve">only </w:t>
      </w:r>
      <w:r w:rsidR="00AD49DA">
        <w:t>11.4</w:t>
      </w:r>
      <w:r w:rsidRPr="00133770">
        <w:t xml:space="preserve">% of the NFS </w:t>
      </w:r>
      <w:r w:rsidR="00AD49DA">
        <w:t xml:space="preserve">treatable </w:t>
      </w:r>
      <w:r w:rsidRPr="00133770">
        <w:t xml:space="preserve">acreage, these acres </w:t>
      </w:r>
      <w:r w:rsidR="00C35210">
        <w:t>provided</w:t>
      </w:r>
      <w:r w:rsidRPr="00133770">
        <w:t xml:space="preserve"> </w:t>
      </w:r>
      <w:r w:rsidRPr="000C34A8">
        <w:rPr>
          <w:b/>
        </w:rPr>
        <w:t>20% of the Agency’s total hazardous fuels</w:t>
      </w:r>
      <w:r w:rsidRPr="00133770">
        <w:t xml:space="preserve"> reductions accomplishments in 2016, </w:t>
      </w:r>
      <w:r w:rsidRPr="000C34A8">
        <w:rPr>
          <w:b/>
        </w:rPr>
        <w:t>15% of the timber volume</w:t>
      </w:r>
      <w:r w:rsidRPr="00133770">
        <w:t xml:space="preserve"> sold, </w:t>
      </w:r>
      <w:r w:rsidRPr="000C34A8">
        <w:rPr>
          <w:b/>
        </w:rPr>
        <w:t>16% of the terrestrial habitat</w:t>
      </w:r>
      <w:r w:rsidRPr="00133770">
        <w:t xml:space="preserve"> enhanced, and </w:t>
      </w:r>
      <w:r w:rsidRPr="000C34A8">
        <w:rPr>
          <w:b/>
        </w:rPr>
        <w:t>30% of the forest vegetation improved</w:t>
      </w:r>
      <w:r w:rsidRPr="00133770">
        <w:t xml:space="preserve">. </w:t>
      </w:r>
      <w:r w:rsidR="00C35210">
        <w:t>They also contributed 5% of the stream habitat enhanced accomplishments and 5% of trails maintained to standard.</w:t>
      </w:r>
    </w:p>
    <w:p w14:paraId="0CFD7E8A" w14:textId="2D353656" w:rsidR="000C34A8" w:rsidRDefault="000C34A8" w:rsidP="000C34A8">
      <w:r>
        <w:t xml:space="preserve">In Region 6, the 5 Forests with CFLRP </w:t>
      </w:r>
      <w:r w:rsidRPr="000C34A8">
        <w:rPr>
          <w:b/>
        </w:rPr>
        <w:t xml:space="preserve">increased hazardous fuels treatments by 43% since CFLRP </w:t>
      </w:r>
      <w:r w:rsidRPr="000C34A8">
        <w:t>– over the same time period, the</w:t>
      </w:r>
      <w:r w:rsidRPr="000C34A8">
        <w:rPr>
          <w:b/>
        </w:rPr>
        <w:t xml:space="preserve"> Region has a whole increased by 10%</w:t>
      </w:r>
      <w:r>
        <w:t xml:space="preserve">. It also increased </w:t>
      </w:r>
      <w:r w:rsidRPr="000C34A8">
        <w:rPr>
          <w:b/>
        </w:rPr>
        <w:t xml:space="preserve">timber volume sold by 14% </w:t>
      </w:r>
      <w:r>
        <w:t xml:space="preserve">since CFLRP, while the </w:t>
      </w:r>
      <w:r w:rsidRPr="000C34A8">
        <w:rPr>
          <w:b/>
        </w:rPr>
        <w:t>Region has a whole increased by 7%</w:t>
      </w:r>
      <w:r>
        <w:t xml:space="preserve">. </w:t>
      </w:r>
    </w:p>
    <w:p w14:paraId="0E8FA781" w14:textId="0C962FD9" w:rsidR="00826CAE" w:rsidRPr="006755C8" w:rsidRDefault="00C35210" w:rsidP="000C34A8">
      <w:pPr>
        <w:rPr>
          <w:rStyle w:val="IntenseEmphasis"/>
          <w:sz w:val="28"/>
          <w:szCs w:val="28"/>
        </w:rPr>
      </w:pPr>
      <w:r w:rsidRPr="006755C8">
        <w:rPr>
          <w:rStyle w:val="IntenseEmphasis"/>
          <w:sz w:val="28"/>
          <w:szCs w:val="28"/>
        </w:rPr>
        <w:t>USFS investments in CFLRP are commensurate with their f</w:t>
      </w:r>
      <w:r w:rsidR="00826CAE" w:rsidRPr="006755C8">
        <w:rPr>
          <w:rStyle w:val="IntenseEmphasis"/>
          <w:sz w:val="28"/>
          <w:szCs w:val="28"/>
        </w:rPr>
        <w:t>ootprint</w:t>
      </w:r>
    </w:p>
    <w:p w14:paraId="40842477" w14:textId="270AD433" w:rsidR="000C34A8" w:rsidRDefault="00841FE5" w:rsidP="000C34A8">
      <w:pPr>
        <w:rPr>
          <w:rFonts w:cs="Times New Roman"/>
        </w:rPr>
      </w:pPr>
      <w:r>
        <w:rPr>
          <w:rFonts w:cs="Times New Roman"/>
        </w:rPr>
        <w:t>T</w:t>
      </w:r>
      <w:r w:rsidR="000C34A8" w:rsidRPr="00133770">
        <w:rPr>
          <w:rFonts w:cs="Times New Roman"/>
        </w:rPr>
        <w:t xml:space="preserve">he total </w:t>
      </w:r>
      <w:r w:rsidR="00AD49DA">
        <w:rPr>
          <w:rFonts w:cs="Times New Roman"/>
        </w:rPr>
        <w:t xml:space="preserve">2016 </w:t>
      </w:r>
      <w:r w:rsidR="000C34A8" w:rsidRPr="00133770">
        <w:rPr>
          <w:rFonts w:cs="Times New Roman"/>
          <w:b/>
        </w:rPr>
        <w:t>FS investment</w:t>
      </w:r>
      <w:r w:rsidR="00C35210">
        <w:rPr>
          <w:rFonts w:cs="Times New Roman"/>
          <w:b/>
        </w:rPr>
        <w:t>s</w:t>
      </w:r>
      <w:r w:rsidR="000C34A8" w:rsidRPr="00133770">
        <w:rPr>
          <w:rFonts w:cs="Times New Roman"/>
          <w:b/>
        </w:rPr>
        <w:t xml:space="preserve"> </w:t>
      </w:r>
      <w:r w:rsidR="000C34A8" w:rsidRPr="00841FE5">
        <w:rPr>
          <w:rFonts w:cs="Times New Roman"/>
        </w:rPr>
        <w:t>(~$</w:t>
      </w:r>
      <w:r w:rsidR="00AD49DA">
        <w:rPr>
          <w:rFonts w:cs="Times New Roman"/>
        </w:rPr>
        <w:t>90</w:t>
      </w:r>
      <w:r w:rsidR="000C34A8" w:rsidRPr="00841FE5">
        <w:rPr>
          <w:rFonts w:cs="Times New Roman"/>
        </w:rPr>
        <w:t>M</w:t>
      </w:r>
      <w:r w:rsidRPr="00841FE5">
        <w:rPr>
          <w:rFonts w:cs="Times New Roman"/>
        </w:rPr>
        <w:t>, see table below</w:t>
      </w:r>
      <w:r w:rsidR="000C34A8" w:rsidRPr="00841FE5">
        <w:rPr>
          <w:rFonts w:cs="Times New Roman"/>
        </w:rPr>
        <w:t xml:space="preserve">) </w:t>
      </w:r>
      <w:r w:rsidRPr="00841FE5">
        <w:rPr>
          <w:rFonts w:cs="Times New Roman"/>
        </w:rPr>
        <w:t>includes</w:t>
      </w:r>
      <w:r w:rsidR="000C34A8" w:rsidRPr="00841FE5">
        <w:rPr>
          <w:rFonts w:cs="Times New Roman"/>
        </w:rPr>
        <w:t xml:space="preserve"> all restoration-related work on that landscape,</w:t>
      </w:r>
      <w:r w:rsidR="000C34A8" w:rsidRPr="00133770">
        <w:rPr>
          <w:rFonts w:cs="Times New Roman"/>
          <w:b/>
        </w:rPr>
        <w:t xml:space="preserve"> </w:t>
      </w:r>
      <w:r w:rsidR="000C34A8" w:rsidRPr="00841FE5">
        <w:rPr>
          <w:rFonts w:cs="Times New Roman"/>
        </w:rPr>
        <w:t>and</w:t>
      </w:r>
      <w:r w:rsidR="000C34A8" w:rsidRPr="00133770">
        <w:rPr>
          <w:rFonts w:cs="Times New Roman"/>
          <w:b/>
        </w:rPr>
        <w:t xml:space="preserve"> is commensurate with the </w:t>
      </w:r>
      <w:r>
        <w:rPr>
          <w:rFonts w:cs="Times New Roman"/>
          <w:b/>
        </w:rPr>
        <w:t>CFLRP projects’</w:t>
      </w:r>
      <w:r w:rsidR="00B76D92">
        <w:rPr>
          <w:rFonts w:cs="Times New Roman"/>
          <w:b/>
        </w:rPr>
        <w:t xml:space="preserve"> 1</w:t>
      </w:r>
      <w:r w:rsidR="00AD49DA">
        <w:rPr>
          <w:rFonts w:cs="Times New Roman"/>
          <w:b/>
        </w:rPr>
        <w:t>1</w:t>
      </w:r>
      <w:r w:rsidR="00B76D92">
        <w:rPr>
          <w:rFonts w:cs="Times New Roman"/>
          <w:b/>
        </w:rPr>
        <w:t>.</w:t>
      </w:r>
      <w:r w:rsidR="00AD49DA">
        <w:rPr>
          <w:rFonts w:cs="Times New Roman"/>
          <w:b/>
        </w:rPr>
        <w:t>3</w:t>
      </w:r>
      <w:r w:rsidR="00B76D92">
        <w:rPr>
          <w:rFonts w:cs="Times New Roman"/>
          <w:b/>
        </w:rPr>
        <w:t xml:space="preserve"> million</w:t>
      </w:r>
      <w:r>
        <w:rPr>
          <w:rFonts w:cs="Times New Roman"/>
          <w:b/>
        </w:rPr>
        <w:t xml:space="preserve"> acre NFS footprint</w:t>
      </w:r>
      <w:r w:rsidR="000C34A8" w:rsidRPr="00133770">
        <w:rPr>
          <w:rFonts w:cs="Times New Roman"/>
        </w:rPr>
        <w:t xml:space="preserve">. Agency-wide, we </w:t>
      </w:r>
      <w:r w:rsidR="00AD49DA">
        <w:rPr>
          <w:rFonts w:cs="Times New Roman"/>
        </w:rPr>
        <w:t>expended an estimate</w:t>
      </w:r>
      <w:r w:rsidR="00F663F2">
        <w:rPr>
          <w:rFonts w:cs="Times New Roman"/>
        </w:rPr>
        <w:t xml:space="preserve"> $1.</w:t>
      </w:r>
      <w:r w:rsidR="00AD49DA">
        <w:rPr>
          <w:rFonts w:cs="Times New Roman"/>
        </w:rPr>
        <w:t>23</w:t>
      </w:r>
      <w:r w:rsidR="000C34A8" w:rsidRPr="00133770">
        <w:rPr>
          <w:rFonts w:cs="Times New Roman"/>
        </w:rPr>
        <w:t xml:space="preserve"> </w:t>
      </w:r>
      <w:r w:rsidR="00B76D92">
        <w:rPr>
          <w:rFonts w:cs="Times New Roman"/>
        </w:rPr>
        <w:t>billion</w:t>
      </w:r>
      <w:r w:rsidR="000C34A8" w:rsidRPr="00133770">
        <w:rPr>
          <w:rFonts w:cs="Times New Roman"/>
        </w:rPr>
        <w:t xml:space="preserve"> for </w:t>
      </w:r>
      <w:r w:rsidR="00211389">
        <w:rPr>
          <w:rFonts w:cs="Times New Roman"/>
        </w:rPr>
        <w:t xml:space="preserve">comparable </w:t>
      </w:r>
      <w:r w:rsidR="000C34A8" w:rsidRPr="00133770">
        <w:rPr>
          <w:rFonts w:cs="Times New Roman"/>
        </w:rPr>
        <w:t>resto</w:t>
      </w:r>
      <w:r w:rsidR="00B76D92">
        <w:rPr>
          <w:rFonts w:cs="Times New Roman"/>
        </w:rPr>
        <w:t xml:space="preserve">ration-related work across </w:t>
      </w:r>
      <w:r w:rsidR="00227844">
        <w:rPr>
          <w:rFonts w:cs="Times New Roman"/>
        </w:rPr>
        <w:t xml:space="preserve">the </w:t>
      </w:r>
      <w:r w:rsidR="00AD49DA">
        <w:rPr>
          <w:rFonts w:cs="Times New Roman"/>
        </w:rPr>
        <w:t>99</w:t>
      </w:r>
      <w:r w:rsidR="00B76D92">
        <w:rPr>
          <w:rFonts w:cs="Times New Roman"/>
        </w:rPr>
        <w:t xml:space="preserve"> million</w:t>
      </w:r>
      <w:r w:rsidR="000C34A8" w:rsidRPr="00133770">
        <w:rPr>
          <w:rFonts w:cs="Times New Roman"/>
        </w:rPr>
        <w:t xml:space="preserve"> acres</w:t>
      </w:r>
      <w:r w:rsidR="00227844">
        <w:rPr>
          <w:rFonts w:cs="Times New Roman"/>
        </w:rPr>
        <w:t xml:space="preserve"> of the National Forest System not in wilderness or roadless area designation</w:t>
      </w:r>
      <w:r w:rsidR="000C34A8" w:rsidRPr="00133770">
        <w:rPr>
          <w:rFonts w:cs="Times New Roman"/>
        </w:rPr>
        <w:t xml:space="preserve"> (~$</w:t>
      </w:r>
      <w:r w:rsidR="00227844">
        <w:rPr>
          <w:rFonts w:cs="Times New Roman"/>
        </w:rPr>
        <w:t>12.43</w:t>
      </w:r>
      <w:r w:rsidR="000C34A8" w:rsidRPr="00133770">
        <w:rPr>
          <w:rFonts w:cs="Times New Roman"/>
        </w:rPr>
        <w:t xml:space="preserve">/acre). For CFLRP, we invested </w:t>
      </w:r>
      <w:r w:rsidR="00B76D92">
        <w:rPr>
          <w:rFonts w:cs="Times New Roman"/>
        </w:rPr>
        <w:t xml:space="preserve">$90 million on </w:t>
      </w:r>
      <w:r w:rsidR="00227844">
        <w:rPr>
          <w:rFonts w:cs="Times New Roman"/>
        </w:rPr>
        <w:t>11.3</w:t>
      </w:r>
      <w:r w:rsidR="00B76D92">
        <w:rPr>
          <w:rFonts w:cs="Times New Roman"/>
        </w:rPr>
        <w:t xml:space="preserve"> million</w:t>
      </w:r>
      <w:r w:rsidR="000C34A8" w:rsidRPr="00133770">
        <w:rPr>
          <w:rFonts w:cs="Times New Roman"/>
        </w:rPr>
        <w:t xml:space="preserve"> acres (</w:t>
      </w:r>
      <w:r w:rsidR="00227844">
        <w:rPr>
          <w:rFonts w:cs="Times New Roman"/>
        </w:rPr>
        <w:t>~</w:t>
      </w:r>
      <w:r w:rsidR="000C34A8" w:rsidRPr="00133770">
        <w:rPr>
          <w:rFonts w:cs="Times New Roman"/>
        </w:rPr>
        <w:t>$</w:t>
      </w:r>
      <w:r w:rsidR="00227844">
        <w:rPr>
          <w:rFonts w:cs="Times New Roman"/>
        </w:rPr>
        <w:t>8.05</w:t>
      </w:r>
      <w:r w:rsidR="000C34A8" w:rsidRPr="00133770">
        <w:rPr>
          <w:rFonts w:cs="Times New Roman"/>
        </w:rPr>
        <w:t xml:space="preserve">/acre). </w:t>
      </w:r>
    </w:p>
    <w:p w14:paraId="4517E9CB" w14:textId="235494A2" w:rsidR="00826CAE" w:rsidRPr="006755C8" w:rsidRDefault="00826CAE" w:rsidP="000C34A8">
      <w:pPr>
        <w:rPr>
          <w:rStyle w:val="IntenseEmphasis"/>
          <w:sz w:val="28"/>
          <w:szCs w:val="28"/>
        </w:rPr>
      </w:pPr>
      <w:r w:rsidRPr="006755C8">
        <w:rPr>
          <w:rStyle w:val="IntenseEmphasis"/>
          <w:sz w:val="28"/>
          <w:szCs w:val="28"/>
        </w:rPr>
        <w:t>The funds appropriated through CFLRP (CFLN Budget Line Item) deliver significant contributions to Agency-wide accomplishments</w:t>
      </w:r>
    </w:p>
    <w:p w14:paraId="5A472667" w14:textId="2058EB69" w:rsidR="000C34A8" w:rsidRDefault="000C34A8" w:rsidP="000C34A8">
      <w:pPr>
        <w:rPr>
          <w:rFonts w:cs="Times New Roman"/>
        </w:rPr>
      </w:pPr>
      <w:r>
        <w:rPr>
          <w:rFonts w:cs="Times New Roman"/>
        </w:rPr>
        <w:t xml:space="preserve">The CFLN BLI itself is an important contributor to Agency accomplishments on its own as well. In 2016, expenses in </w:t>
      </w:r>
      <w:r w:rsidRPr="000C34A8">
        <w:rPr>
          <w:rFonts w:cs="Times New Roman"/>
          <w:b/>
        </w:rPr>
        <w:t xml:space="preserve">CFLN contributed to 9% of Agency-wide accomplishments </w:t>
      </w:r>
      <w:r w:rsidRPr="00826CAE">
        <w:rPr>
          <w:rFonts w:cs="Times New Roman"/>
        </w:rPr>
        <w:t>for both</w:t>
      </w:r>
      <w:r w:rsidRPr="000C34A8">
        <w:rPr>
          <w:rFonts w:cs="Times New Roman"/>
          <w:b/>
        </w:rPr>
        <w:t xml:space="preserve"> hazardous fuels reduction </w:t>
      </w:r>
      <w:r w:rsidRPr="00826CAE">
        <w:rPr>
          <w:rFonts w:cs="Times New Roman"/>
        </w:rPr>
        <w:t>and</w:t>
      </w:r>
      <w:r w:rsidRPr="000C34A8">
        <w:rPr>
          <w:rFonts w:cs="Times New Roman"/>
          <w:b/>
        </w:rPr>
        <w:t xml:space="preserve"> timber volume sold</w:t>
      </w:r>
      <w:r>
        <w:rPr>
          <w:rFonts w:cs="Times New Roman"/>
        </w:rPr>
        <w:t xml:space="preserve">. </w:t>
      </w:r>
    </w:p>
    <w:p w14:paraId="285A85F6" w14:textId="77777777" w:rsidR="00826CAE" w:rsidRPr="006755C8" w:rsidRDefault="00826CAE" w:rsidP="00826CAE">
      <w:pPr>
        <w:rPr>
          <w:rStyle w:val="IntenseEmphasis"/>
          <w:sz w:val="28"/>
          <w:szCs w:val="28"/>
        </w:rPr>
      </w:pPr>
      <w:r w:rsidRPr="006755C8">
        <w:rPr>
          <w:rStyle w:val="IntenseEmphasis"/>
          <w:sz w:val="28"/>
          <w:szCs w:val="28"/>
        </w:rPr>
        <w:t>CFLR seed money acts as leverage to bring in more resources</w:t>
      </w:r>
    </w:p>
    <w:p w14:paraId="05C8DC86" w14:textId="0DD0BEE0" w:rsidR="00B76D92" w:rsidRDefault="00B76D92" w:rsidP="000C34A8">
      <w:r>
        <w:t xml:space="preserve">The strategic investments in CFLRP projects help to attract and leverage partner dollars: </w:t>
      </w:r>
      <w:r w:rsidR="00227844">
        <w:t>in FY16 alone, the $40 million in CFLN appropriated brought in $18.7 million in partner match on NFS lands and an additional $30 million in investments across the full CFLR landscape boundary.  Partnership investments have increased over the course of the CFLR program</w:t>
      </w:r>
      <w:r w:rsidR="00A754CF">
        <w:t xml:space="preserve"> (see chart below)</w:t>
      </w:r>
      <w:r w:rsidR="0009520A">
        <w:t>.</w:t>
      </w:r>
      <w:r w:rsidR="00227844">
        <w:t xml:space="preserve"> For Forest Service partnership agency-wide, the goal is to generate between 20% and 50% match from partners.  The CFLR program exceeds these standards.</w:t>
      </w:r>
    </w:p>
    <w:p w14:paraId="3A3491A7" w14:textId="0DC48D83" w:rsidR="00A754CF" w:rsidRDefault="00A754CF" w:rsidP="000C34A8">
      <w:r w:rsidRPr="00C43CEB">
        <w:rPr>
          <w:noProof/>
        </w:rPr>
        <w:lastRenderedPageBreak/>
        <w:drawing>
          <wp:inline distT="0" distB="0" distL="0" distR="0" wp14:anchorId="487585E6" wp14:editId="3979E11C">
            <wp:extent cx="6600825" cy="38671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1A72CD4" w14:textId="741A0273" w:rsidR="000C34A8" w:rsidRPr="00F663F2" w:rsidRDefault="00F663F2" w:rsidP="000C34A8">
      <w:pPr>
        <w:rPr>
          <w:rFonts w:asciiTheme="majorHAnsi" w:eastAsiaTheme="majorEastAsia" w:hAnsiTheme="majorHAnsi" w:cstheme="majorBidi"/>
          <w:i/>
          <w:iCs/>
          <w:color w:val="2E74B5" w:themeColor="accent1" w:themeShade="BF"/>
          <w:sz w:val="32"/>
          <w:szCs w:val="32"/>
        </w:rPr>
      </w:pPr>
      <w:r w:rsidRPr="00F663F2">
        <w:rPr>
          <w:rFonts w:asciiTheme="majorHAnsi" w:eastAsiaTheme="majorEastAsia" w:hAnsiTheme="majorHAnsi" w:cstheme="majorBidi"/>
          <w:i/>
          <w:iCs/>
          <w:color w:val="2E74B5" w:themeColor="accent1" w:themeShade="BF"/>
          <w:sz w:val="32"/>
          <w:szCs w:val="32"/>
        </w:rPr>
        <w:t>T</w:t>
      </w:r>
      <w:r w:rsidR="00BC7976" w:rsidRPr="00F663F2">
        <w:rPr>
          <w:rFonts w:asciiTheme="majorHAnsi" w:eastAsiaTheme="majorEastAsia" w:hAnsiTheme="majorHAnsi" w:cstheme="majorBidi"/>
          <w:i/>
          <w:iCs/>
          <w:color w:val="2E74B5" w:themeColor="accent1" w:themeShade="BF"/>
          <w:sz w:val="32"/>
          <w:szCs w:val="32"/>
        </w:rPr>
        <w:t xml:space="preserve">he CFLRP program helps us manage the land better. </w:t>
      </w:r>
    </w:p>
    <w:p w14:paraId="718564B3" w14:textId="24501062" w:rsidR="00BC7976" w:rsidRPr="00F663F2" w:rsidRDefault="00BC7976" w:rsidP="00BC7976">
      <w:pPr>
        <w:rPr>
          <w:rStyle w:val="IntenseEmphasis"/>
        </w:rPr>
      </w:pPr>
      <w:r w:rsidRPr="00F663F2">
        <w:rPr>
          <w:rStyle w:val="IntenseEmphasis"/>
        </w:rPr>
        <w:t>Scientific input can be strengthened by the CFLR approach</w:t>
      </w:r>
    </w:p>
    <w:p w14:paraId="4DFD4730" w14:textId="589371E1" w:rsidR="00BC7976" w:rsidRDefault="00F663F2" w:rsidP="00BC7976">
      <w:r>
        <w:t>In 2016, the USFS Washington Office visited staff and local partners at 7 of the 23 CFLR projects to validate progress, identify challenges and opportunities to address barriers, capture learning, and gather feedback for the future. One key takeaway was that t</w:t>
      </w:r>
      <w:r w:rsidR="00BC7976" w:rsidRPr="00A12D2A">
        <w:t xml:space="preserve">he CFLR </w:t>
      </w:r>
      <w:r w:rsidR="00BC7976" w:rsidRPr="00BC7976">
        <w:rPr>
          <w:b/>
        </w:rPr>
        <w:t>multi-party monitoring requirement and investment in monitoring provides a platform for building effective working relationships with partners and generates valuable data to improve subsequent projects within and beyond the CFLR boundaries</w:t>
      </w:r>
      <w:r w:rsidR="00BC7976" w:rsidRPr="00A12D2A">
        <w:t xml:space="preserve">. Site-specific monitoring of treated areas with partners and the community can promote trust, transparency, and shared ownership. It also allows for learning and making improvements to treatments. </w:t>
      </w:r>
    </w:p>
    <w:p w14:paraId="00B9CC0D" w14:textId="77777777" w:rsidR="00BC7976" w:rsidRDefault="00BC7976" w:rsidP="00BC7976">
      <w:pPr>
        <w:pStyle w:val="ListParagraph"/>
        <w:numPr>
          <w:ilvl w:val="0"/>
          <w:numId w:val="7"/>
        </w:numPr>
      </w:pPr>
      <w:r w:rsidRPr="00A12D2A">
        <w:t xml:space="preserve">For the Southern Blues Restoration Coalition, site-specific monitoring data helps the group resolve differences. By going into the field to observe and discuss ongoing and completed treatments </w:t>
      </w:r>
      <w:r w:rsidRPr="00F663F2">
        <w:rPr>
          <w:b/>
        </w:rPr>
        <w:t>with their science liaisons, the group moves ahead by “following the science.”</w:t>
      </w:r>
      <w:r w:rsidRPr="00A12D2A">
        <w:t xml:space="preserve"> </w:t>
      </w:r>
    </w:p>
    <w:p w14:paraId="5D1E3C55" w14:textId="77777777" w:rsidR="00F663F2" w:rsidRDefault="00BC7976" w:rsidP="00F663F2">
      <w:pPr>
        <w:pStyle w:val="ListParagraph"/>
        <w:numPr>
          <w:ilvl w:val="0"/>
          <w:numId w:val="7"/>
        </w:numPr>
      </w:pPr>
      <w:r w:rsidRPr="00A12D2A">
        <w:lastRenderedPageBreak/>
        <w:t xml:space="preserve">On the Northeast Washington Forest Vision 2020 project, partners came up with an initial list of 120 possible monitoring questions and then worked together to prioritize 12 key questions. The project brings together the Forest Service, Colville Confederated Tribes, Conservation Northwest, Rocky Mountain Research Station, and others to carry out this monitoring plan. One monitoring component focused on engaging with tribal elders to map plants of social and cultural importance and understand the impacts of treatment activities on those plants. </w:t>
      </w:r>
      <w:r w:rsidRPr="00F663F2">
        <w:rPr>
          <w:b/>
        </w:rPr>
        <w:t xml:space="preserve">Data collected regarding goshawks helped to address public concerns in a subsequent project. </w:t>
      </w:r>
    </w:p>
    <w:p w14:paraId="1CDE5B8A" w14:textId="6BFD6BDB" w:rsidR="00BC7976" w:rsidRPr="00A12D2A" w:rsidRDefault="00BC7976" w:rsidP="00F663F2">
      <w:pPr>
        <w:pStyle w:val="ListParagraph"/>
        <w:numPr>
          <w:ilvl w:val="0"/>
          <w:numId w:val="7"/>
        </w:numPr>
      </w:pPr>
      <w:r w:rsidRPr="00A12D2A">
        <w:t xml:space="preserve">Colorado Front Range hosts annual “monitoring jam sessions.” These “jam sessions” are a 1 day workshop by members of the CFLRP Leadership Team to </w:t>
      </w:r>
      <w:r w:rsidRPr="00F663F2">
        <w:rPr>
          <w:b/>
        </w:rPr>
        <w:t>assess monitoring results and determine consistency with desired conditions</w:t>
      </w:r>
      <w:r w:rsidRPr="00A12D2A">
        <w:t>. The results of these sessions are ultimately summarized in a report that is presented to the Front Range Fuels Treatment Partnership and made available on the web.</w:t>
      </w:r>
    </w:p>
    <w:p w14:paraId="356FC710" w14:textId="45CE41DB" w:rsidR="000C34A8" w:rsidRPr="00F663F2" w:rsidRDefault="00F663F2" w:rsidP="000C34A8">
      <w:pPr>
        <w:rPr>
          <w:rStyle w:val="IntenseEmphasis"/>
        </w:rPr>
      </w:pPr>
      <w:r w:rsidRPr="00F663F2">
        <w:rPr>
          <w:rStyle w:val="IntenseEmphasis"/>
        </w:rPr>
        <w:t>The focus and investment CFLRP brings to the collaborative process leads to more efficient NEPA analysis at larger scales</w:t>
      </w:r>
      <w:r w:rsidR="006755C8">
        <w:rPr>
          <w:rStyle w:val="IntenseEmphasis"/>
        </w:rPr>
        <w:t>, reduces objections and litigation and makes projects more successful in resolving objections and litigation when they do occur.</w:t>
      </w:r>
    </w:p>
    <w:p w14:paraId="1B9BB458" w14:textId="77777777" w:rsidR="00F663F2" w:rsidRDefault="00F663F2" w:rsidP="00F663F2">
      <w:r>
        <w:t xml:space="preserve">Agency-wide in 2016, completing the NEPA analysis (defined as from Notice of Intent to signed Finding Of No Significant Impact or Record of Decision), took </w:t>
      </w:r>
      <w:r>
        <w:rPr>
          <w:b/>
          <w:bCs/>
        </w:rPr>
        <w:t>730</w:t>
      </w:r>
      <w:r>
        <w:t xml:space="preserve"> days for Environmental Assessments (</w:t>
      </w:r>
      <w:r>
        <w:rPr>
          <w:b/>
          <w:bCs/>
        </w:rPr>
        <w:t>EAs</w:t>
      </w:r>
      <w:r>
        <w:t xml:space="preserve">) and </w:t>
      </w:r>
      <w:r>
        <w:rPr>
          <w:b/>
          <w:bCs/>
        </w:rPr>
        <w:t>1,373</w:t>
      </w:r>
      <w:r>
        <w:t xml:space="preserve"> days for Environmental Impact Statements (</w:t>
      </w:r>
      <w:r>
        <w:rPr>
          <w:b/>
          <w:bCs/>
        </w:rPr>
        <w:t>EISs</w:t>
      </w:r>
      <w:r>
        <w:t>).  Preliminary data show CFLR projects completing NEPA analyses in less time:</w:t>
      </w:r>
    </w:p>
    <w:p w14:paraId="3F6242B9" w14:textId="77777777" w:rsidR="00F663F2" w:rsidRDefault="00F663F2" w:rsidP="00F663F2">
      <w:pPr>
        <w:pStyle w:val="ListParagraph"/>
        <w:numPr>
          <w:ilvl w:val="0"/>
          <w:numId w:val="8"/>
        </w:numPr>
        <w:spacing w:after="0" w:line="240" w:lineRule="auto"/>
        <w:contextualSpacing w:val="0"/>
      </w:pPr>
      <w:r>
        <w:t xml:space="preserve">In Colorado, the Escalante Landscape Restoration Stewardship </w:t>
      </w:r>
      <w:r>
        <w:rPr>
          <w:b/>
          <w:bCs/>
        </w:rPr>
        <w:t>EA</w:t>
      </w:r>
      <w:r>
        <w:t xml:space="preserve"> took </w:t>
      </w:r>
      <w:r>
        <w:rPr>
          <w:b/>
          <w:bCs/>
        </w:rPr>
        <w:t>192</w:t>
      </w:r>
      <w:r>
        <w:t xml:space="preserve"> days</w:t>
      </w:r>
    </w:p>
    <w:p w14:paraId="37A69A3C" w14:textId="77777777" w:rsidR="00F663F2" w:rsidRDefault="00F663F2" w:rsidP="00F663F2">
      <w:pPr>
        <w:pStyle w:val="ListParagraph"/>
        <w:numPr>
          <w:ilvl w:val="0"/>
          <w:numId w:val="8"/>
        </w:numPr>
        <w:spacing w:after="0" w:line="240" w:lineRule="auto"/>
        <w:contextualSpacing w:val="0"/>
      </w:pPr>
      <w:r>
        <w:t xml:space="preserve">In Colorado, the Dove Vegetation Management Project </w:t>
      </w:r>
      <w:r>
        <w:rPr>
          <w:b/>
          <w:bCs/>
        </w:rPr>
        <w:t>EA</w:t>
      </w:r>
      <w:r>
        <w:t xml:space="preserve"> took </w:t>
      </w:r>
      <w:r>
        <w:rPr>
          <w:b/>
          <w:bCs/>
        </w:rPr>
        <w:t>615</w:t>
      </w:r>
      <w:r>
        <w:t xml:space="preserve"> days</w:t>
      </w:r>
    </w:p>
    <w:p w14:paraId="0D77C046" w14:textId="77777777" w:rsidR="00F663F2" w:rsidRDefault="00F663F2" w:rsidP="00F663F2">
      <w:pPr>
        <w:pStyle w:val="ListParagraph"/>
        <w:numPr>
          <w:ilvl w:val="0"/>
          <w:numId w:val="8"/>
        </w:numPr>
        <w:spacing w:after="0" w:line="240" w:lineRule="auto"/>
        <w:contextualSpacing w:val="0"/>
      </w:pPr>
      <w:r>
        <w:t xml:space="preserve">In Oregon, the Magone </w:t>
      </w:r>
      <w:r>
        <w:rPr>
          <w:b/>
          <w:bCs/>
        </w:rPr>
        <w:t>EIS</w:t>
      </w:r>
      <w:r>
        <w:t xml:space="preserve"> took </w:t>
      </w:r>
      <w:r>
        <w:rPr>
          <w:b/>
          <w:bCs/>
        </w:rPr>
        <w:t>808</w:t>
      </w:r>
      <w:r>
        <w:t xml:space="preserve"> days</w:t>
      </w:r>
    </w:p>
    <w:p w14:paraId="14C14B66" w14:textId="5DC20062" w:rsidR="006755C8" w:rsidRDefault="00F663F2" w:rsidP="006755C8">
      <w:pPr>
        <w:pStyle w:val="ListParagraph"/>
        <w:numPr>
          <w:ilvl w:val="0"/>
          <w:numId w:val="8"/>
        </w:numPr>
        <w:spacing w:after="0" w:line="240" w:lineRule="auto"/>
        <w:contextualSpacing w:val="0"/>
      </w:pPr>
      <w:r>
        <w:t xml:space="preserve">In Idaho, the Lost Creek Boulder Creek </w:t>
      </w:r>
      <w:r w:rsidRPr="006755C8">
        <w:t>EIS</w:t>
      </w:r>
      <w:r>
        <w:t xml:space="preserve"> took </w:t>
      </w:r>
      <w:r w:rsidRPr="006755C8">
        <w:t>557</w:t>
      </w:r>
      <w:r>
        <w:t xml:space="preserve"> days</w:t>
      </w:r>
    </w:p>
    <w:p w14:paraId="575CF38A" w14:textId="77777777" w:rsidR="006755C8" w:rsidRDefault="006755C8" w:rsidP="006755C8">
      <w:pPr>
        <w:pStyle w:val="ListParagraph"/>
        <w:numPr>
          <w:ilvl w:val="0"/>
          <w:numId w:val="10"/>
        </w:numPr>
      </w:pPr>
      <w:r>
        <w:t xml:space="preserve">CFLR projects report that they can resolve appeals and objections more quickly due to strong community relationships from the CFLR program.  The few CFLR projects that have been litigated have had CFLR collaboratives intervene on their behalf in the lawsuit, which they attribute as a major reason for their ultimate success in the litigation.  </w:t>
      </w:r>
    </w:p>
    <w:p w14:paraId="5DEAB099" w14:textId="0207054E" w:rsidR="006755C8" w:rsidRDefault="006755C8" w:rsidP="006755C8">
      <w:pPr>
        <w:pStyle w:val="ListParagraph"/>
        <w:numPr>
          <w:ilvl w:val="1"/>
          <w:numId w:val="10"/>
        </w:numPr>
      </w:pPr>
      <w:r>
        <w:t>For example, because of the strong and diverse community support for a CFLR project, a federal court recently dismissed a lawsuit on the Lost Creek Boulder Creek (LCBC) project, which is part of the Weiser-Little Salmon CFLR on the Payette National Forest in Idaoh.  The lawsuit was filed by Alliance for Wild Rockies, Native Ecosystem Council, and Idaho Sporting Congress.  This is a great example of a court decision upholding collaborative groups’ recommendations, reaffirming the value of investing in collaborative processes.    This 80,000 acre project will continue full implementation and improve watershed condition class, improve forest resiliency, contribute to habitat improvement for ESA species, and benefit local economies.</w:t>
      </w:r>
    </w:p>
    <w:p w14:paraId="1C375EA2" w14:textId="5A261D11" w:rsidR="00A754CF" w:rsidRPr="009E69C0" w:rsidRDefault="00E65B3F" w:rsidP="00A754CF">
      <w:pPr>
        <w:pStyle w:val="ListParagraph"/>
        <w:numPr>
          <w:ilvl w:val="0"/>
          <w:numId w:val="10"/>
        </w:numPr>
        <w:rPr>
          <w:b/>
          <w:i/>
        </w:rPr>
      </w:pPr>
      <w:r w:rsidRPr="009E69C0">
        <w:rPr>
          <w:b/>
          <w:i/>
          <w:u w:val="single"/>
        </w:rPr>
        <w:t>Note</w:t>
      </w:r>
      <w:r w:rsidRPr="009E69C0">
        <w:rPr>
          <w:b/>
          <w:i/>
        </w:rPr>
        <w:t xml:space="preserve">:  </w:t>
      </w:r>
      <w:r w:rsidR="00A754CF" w:rsidRPr="009E69C0">
        <w:rPr>
          <w:b/>
          <w:i/>
        </w:rPr>
        <w:t>The Forest Service is conducting additional analysis of CFLR NEPA, Objections and Litigation trends compared to the rest of the agency and will have those results by early 2017.</w:t>
      </w:r>
    </w:p>
    <w:p w14:paraId="4D9FB95F" w14:textId="0397497B" w:rsidR="006755C8" w:rsidRDefault="006755C8" w:rsidP="006755C8">
      <w:pPr>
        <w:pStyle w:val="ListParagraph"/>
      </w:pPr>
    </w:p>
    <w:p w14:paraId="0335F35D" w14:textId="77777777" w:rsidR="00E65B3F" w:rsidRDefault="00E65B3F" w:rsidP="006755C8">
      <w:pPr>
        <w:pStyle w:val="ListParagraph"/>
      </w:pPr>
    </w:p>
    <w:p w14:paraId="47C5F6A0" w14:textId="77777777" w:rsidR="00E65B3F" w:rsidRDefault="00E65B3F" w:rsidP="006755C8">
      <w:pPr>
        <w:pStyle w:val="ListParagraph"/>
      </w:pPr>
    </w:p>
    <w:p w14:paraId="109328AE" w14:textId="77777777" w:rsidR="00E65B3F" w:rsidRDefault="00E65B3F" w:rsidP="006755C8">
      <w:pPr>
        <w:pStyle w:val="ListParagraph"/>
      </w:pPr>
    </w:p>
    <w:p w14:paraId="5869C4B0" w14:textId="3AFBB816" w:rsidR="00480024" w:rsidRPr="00480024" w:rsidRDefault="00480024" w:rsidP="00480024">
      <w:pPr>
        <w:rPr>
          <w:rStyle w:val="IntenseEmphasis"/>
        </w:rPr>
      </w:pPr>
      <w:r w:rsidRPr="00480024">
        <w:rPr>
          <w:rStyle w:val="IntenseEmphasis"/>
        </w:rPr>
        <w:lastRenderedPageBreak/>
        <w:t>Working at a landscape scale for integrated social, economic, and ecological outcomes produces tangible results</w:t>
      </w:r>
    </w:p>
    <w:p w14:paraId="65D1EDCB" w14:textId="77777777" w:rsidR="00480024" w:rsidRDefault="00480024" w:rsidP="00480024">
      <w:pPr>
        <w:rPr>
          <w:b/>
          <w:u w:val="single"/>
        </w:rPr>
      </w:pPr>
      <w:r w:rsidRPr="008F4FA4">
        <w:rPr>
          <w:b/>
          <w:u w:val="single"/>
        </w:rPr>
        <w:t>Fire Risk and Costs</w:t>
      </w:r>
    </w:p>
    <w:p w14:paraId="419C81BA" w14:textId="77777777" w:rsidR="00480024" w:rsidRPr="00E67AC9" w:rsidRDefault="00480024" w:rsidP="00480024">
      <w:pPr>
        <w:pStyle w:val="ListParagraph"/>
        <w:numPr>
          <w:ilvl w:val="0"/>
          <w:numId w:val="1"/>
        </w:numPr>
        <w:rPr>
          <w:b/>
        </w:rPr>
      </w:pPr>
      <w:r w:rsidRPr="00E67AC9">
        <w:rPr>
          <w:b/>
        </w:rPr>
        <w:t>Longleaf Pine Ecosystem Restoration and Hazardous Fuels Reduction (Mississippi)</w:t>
      </w:r>
    </w:p>
    <w:p w14:paraId="2C299583" w14:textId="77777777" w:rsidR="00480024" w:rsidRPr="00583F9F" w:rsidRDefault="00480024" w:rsidP="00480024">
      <w:pPr>
        <w:pStyle w:val="ListParagraph"/>
        <w:rPr>
          <w:rFonts w:cs="Times New Roman"/>
        </w:rPr>
      </w:pPr>
      <w:r w:rsidRPr="00E67AC9">
        <w:rPr>
          <w:rFonts w:cs="Times New Roman"/>
        </w:rPr>
        <w:t xml:space="preserve">“Wildfires occurring within areas that had received fuels treatments within the previous three years are evaluated for the effectiveness of the treatment.  </w:t>
      </w:r>
      <w:r w:rsidRPr="00E67AC9">
        <w:rPr>
          <w:rFonts w:cs="Times New Roman"/>
          <w:b/>
        </w:rPr>
        <w:t xml:space="preserve">The average size of wildfires occurring within treatment areas, over the last 5 years is </w:t>
      </w:r>
      <w:r w:rsidRPr="00583F9F">
        <w:rPr>
          <w:rFonts w:cs="Times New Roman"/>
          <w:b/>
          <w:u w:val="single"/>
        </w:rPr>
        <w:t>consistently less than fires occurring outside of treatment areas</w:t>
      </w:r>
      <w:r w:rsidRPr="00E67AC9">
        <w:rPr>
          <w:rFonts w:cs="Times New Roman"/>
          <w:b/>
        </w:rPr>
        <w:t>.</w:t>
      </w:r>
      <w:r w:rsidRPr="00E67AC9">
        <w:rPr>
          <w:rFonts w:cs="Times New Roman"/>
        </w:rPr>
        <w:t xml:space="preserve"> The average size for fires within treatment areas is less than 10 acres.  The overall average size for wildfires on the De Soto Ranger District is 75 acres.  </w:t>
      </w:r>
      <w:r w:rsidRPr="00583F9F">
        <w:rPr>
          <w:rFonts w:cs="Times New Roman"/>
        </w:rPr>
        <w:t>Fire behavior and control of the fires were positively affected on every wildfire that occurred within treatment areas.”</w:t>
      </w:r>
    </w:p>
    <w:p w14:paraId="52598D5E" w14:textId="77777777" w:rsidR="00480024" w:rsidRPr="00E67AC9" w:rsidRDefault="00480024" w:rsidP="00480024">
      <w:pPr>
        <w:pStyle w:val="ListParagraph"/>
        <w:rPr>
          <w:b/>
        </w:rPr>
      </w:pPr>
    </w:p>
    <w:p w14:paraId="509133A0" w14:textId="77777777" w:rsidR="00480024" w:rsidRPr="00926C28" w:rsidRDefault="00480024" w:rsidP="00480024">
      <w:pPr>
        <w:pStyle w:val="ListParagraph"/>
        <w:numPr>
          <w:ilvl w:val="0"/>
          <w:numId w:val="1"/>
        </w:numPr>
        <w:shd w:val="clear" w:color="auto" w:fill="FFFFFF"/>
        <w:spacing w:after="0"/>
        <w:rPr>
          <w:rFonts w:cstheme="minorHAnsi"/>
          <w:b/>
        </w:rPr>
      </w:pPr>
      <w:r w:rsidRPr="00926C28">
        <w:rPr>
          <w:rFonts w:cstheme="minorHAnsi"/>
          <w:b/>
        </w:rPr>
        <w:t xml:space="preserve">Accelerating Longleaf Pine Restoration (Florida) </w:t>
      </w:r>
    </w:p>
    <w:p w14:paraId="6D767137" w14:textId="77777777" w:rsidR="00480024" w:rsidRPr="00926C28" w:rsidRDefault="00480024" w:rsidP="00480024">
      <w:pPr>
        <w:pStyle w:val="ListParagraph"/>
        <w:shd w:val="clear" w:color="auto" w:fill="FFFFFF"/>
        <w:spacing w:after="0"/>
        <w:rPr>
          <w:b/>
        </w:rPr>
      </w:pPr>
      <w:r w:rsidRPr="00926C28">
        <w:rPr>
          <w:rFonts w:cstheme="minorHAnsi"/>
          <w:b/>
        </w:rPr>
        <w:t xml:space="preserve">Prior to the CFLRP, the Osceola Nation Forest (ONF) prescribe burned an average of </w:t>
      </w:r>
      <w:r w:rsidRPr="00583F9F">
        <w:rPr>
          <w:rFonts w:cstheme="minorHAnsi"/>
          <w:b/>
          <w:u w:val="single"/>
        </w:rPr>
        <w:t>25,000 acres annually</w:t>
      </w:r>
      <w:r w:rsidRPr="00926C28">
        <w:rPr>
          <w:rFonts w:cstheme="minorHAnsi"/>
          <w:b/>
        </w:rPr>
        <w:t xml:space="preserve">.  In FY 2016, approximately </w:t>
      </w:r>
      <w:r w:rsidRPr="00583F9F">
        <w:rPr>
          <w:rFonts w:cstheme="minorHAnsi"/>
          <w:b/>
          <w:u w:val="single"/>
        </w:rPr>
        <w:t>33,604 acres</w:t>
      </w:r>
      <w:r w:rsidRPr="00926C28">
        <w:rPr>
          <w:rFonts w:cstheme="minorHAnsi"/>
          <w:b/>
        </w:rPr>
        <w:t xml:space="preserve"> were treated</w:t>
      </w:r>
      <w:r w:rsidRPr="00926C28">
        <w:rPr>
          <w:rFonts w:cstheme="minorHAnsi"/>
        </w:rPr>
        <w:t xml:space="preserve"> through prescribed burning. </w:t>
      </w:r>
    </w:p>
    <w:p w14:paraId="73E240FD" w14:textId="77777777" w:rsidR="00480024" w:rsidRDefault="00480024" w:rsidP="00480024">
      <w:pPr>
        <w:pStyle w:val="ListParagraph"/>
        <w:rPr>
          <w:b/>
        </w:rPr>
      </w:pPr>
    </w:p>
    <w:p w14:paraId="49E42D69" w14:textId="77777777" w:rsidR="00480024" w:rsidRPr="00E67AC9" w:rsidRDefault="00480024" w:rsidP="00480024">
      <w:pPr>
        <w:pStyle w:val="ListParagraph"/>
        <w:numPr>
          <w:ilvl w:val="0"/>
          <w:numId w:val="1"/>
        </w:numPr>
        <w:rPr>
          <w:b/>
        </w:rPr>
      </w:pPr>
      <w:r w:rsidRPr="00E67AC9">
        <w:rPr>
          <w:b/>
        </w:rPr>
        <w:t>Colorado Front Range (Colorado)</w:t>
      </w:r>
    </w:p>
    <w:p w14:paraId="51AEE697" w14:textId="77777777" w:rsidR="00480024" w:rsidRDefault="00480024" w:rsidP="00480024">
      <w:pPr>
        <w:pStyle w:val="ListParagraph"/>
        <w:rPr>
          <w:b/>
        </w:rPr>
      </w:pPr>
      <w:r>
        <w:t>“</w:t>
      </w:r>
      <w:r w:rsidRPr="00E67AC9">
        <w:t xml:space="preserve">In 2016, a wildfire began within the Colorado Front Range project treatment area. The Cold Springs Fire was started by an illegal campfire on private land, and burned a total of 606 acres over two days, including 75 acres of NFS lands near Nederland, CO. The area had been manually treated by a USFS contractor in 2015 as part of the CFLR Project. While the slash piles had not yet been burned, this project treated a large amount of heavy fuels, increasing the spacing between residual tree canopies. When the wildfire spread into the unit, fire activity moved from the tree crowns down to the ground vegetation, allowing firefighters to engaged the fire and hold it on two sides of the unit. </w:t>
      </w:r>
      <w:r w:rsidRPr="00E67AC9">
        <w:rPr>
          <w:b/>
        </w:rPr>
        <w:t>Firefighters on the scene believe treatments prevented the fire from causing more spot fires across Boulder Canyon, which would have put thousands more residences in the path of wildfire. Surrounded on all sides by private property, the unit is credited with preventing the destruction of more homes.</w:t>
      </w:r>
      <w:r w:rsidRPr="00E67AC9">
        <w:t xml:space="preserve"> While there were hundreds of homes along the fire’s perimeter, the loss was limited to eight residence</w:t>
      </w:r>
      <w:r>
        <w:t>s.”</w:t>
      </w:r>
    </w:p>
    <w:p w14:paraId="3DD119B4" w14:textId="77777777" w:rsidR="00480024" w:rsidRDefault="00480024" w:rsidP="00480024">
      <w:pPr>
        <w:pStyle w:val="ListParagraph"/>
        <w:rPr>
          <w:b/>
        </w:rPr>
      </w:pPr>
    </w:p>
    <w:p w14:paraId="19D3E8FB" w14:textId="77777777" w:rsidR="00480024" w:rsidRPr="00926C28" w:rsidRDefault="00480024" w:rsidP="00480024">
      <w:pPr>
        <w:pStyle w:val="ListParagraph"/>
        <w:numPr>
          <w:ilvl w:val="0"/>
          <w:numId w:val="1"/>
        </w:numPr>
      </w:pPr>
      <w:r>
        <w:rPr>
          <w:b/>
        </w:rPr>
        <w:t xml:space="preserve">Uncompahgre Plateau (Colorado) </w:t>
      </w:r>
    </w:p>
    <w:p w14:paraId="719DAFCF" w14:textId="77777777" w:rsidR="00480024" w:rsidRDefault="00480024" w:rsidP="00480024">
      <w:pPr>
        <w:pStyle w:val="ListParagraph"/>
      </w:pPr>
      <w:r>
        <w:t>“</w:t>
      </w:r>
      <w:r w:rsidRPr="00926C28">
        <w:t xml:space="preserve">Overall, more than 4,000 acres of fire/fuels specific projects were implemented within the CFLN area in 2016. These acres, coupled with previously treated acres since the inception of the CFLN project, have </w:t>
      </w:r>
      <w:r w:rsidRPr="00926C28">
        <w:rPr>
          <w:b/>
        </w:rPr>
        <w:t>substantially modified fuels complexes and potential fire behavior in key locations within the CFLN landscape area</w:t>
      </w:r>
      <w:r w:rsidRPr="00926C28">
        <w:t xml:space="preserve">. Though we did not have any 2016 wildfires whose behavior was modified by previous fuels treatments we have model estimates that </w:t>
      </w:r>
      <w:r>
        <w:t>approximately 50% of the Uncom</w:t>
      </w:r>
      <w:r w:rsidRPr="00926C28">
        <w:t>p</w:t>
      </w:r>
      <w:r>
        <w:t>a</w:t>
      </w:r>
      <w:r w:rsidRPr="00926C28">
        <w:t>hgre Plateau is in a condition where natural (managed) fire can play a key role in continuing to maintained that landscape. Future planned fuels work, as well as future wildfire management opportunities, will continue to increase this percentage; the opportunities increase exponentially as increasing amount</w:t>
      </w:r>
      <w:r>
        <w:t>s of the landscape are treated….Restoration of Fire-Adapted Ecosystems is occurring at a substantial pace with emphasis on dry mixed conifer adjacent to values; this will allow future fuels and fire management opportunities to expand significantly in the future.”</w:t>
      </w:r>
    </w:p>
    <w:p w14:paraId="788C4970" w14:textId="77777777" w:rsidR="00E65B3F" w:rsidRDefault="00E65B3F" w:rsidP="00480024">
      <w:pPr>
        <w:pStyle w:val="ListParagraph"/>
      </w:pPr>
    </w:p>
    <w:p w14:paraId="325AFEDB" w14:textId="2EBF1822" w:rsidR="00480024" w:rsidRPr="00926C28" w:rsidRDefault="00B70EEB" w:rsidP="00480024">
      <w:pPr>
        <w:rPr>
          <w:b/>
          <w:u w:val="single"/>
        </w:rPr>
      </w:pPr>
      <w:r>
        <w:rPr>
          <w:b/>
          <w:u w:val="single"/>
        </w:rPr>
        <w:lastRenderedPageBreak/>
        <w:t>Supporting Local Economis</w:t>
      </w:r>
    </w:p>
    <w:p w14:paraId="62BA07D8" w14:textId="77777777" w:rsidR="00480024" w:rsidRPr="000565EC" w:rsidRDefault="00480024" w:rsidP="00E65B3F">
      <w:pPr>
        <w:pStyle w:val="ListParagraph"/>
        <w:numPr>
          <w:ilvl w:val="0"/>
          <w:numId w:val="1"/>
        </w:numPr>
        <w:shd w:val="clear" w:color="auto" w:fill="FFFFFF"/>
        <w:spacing w:after="0" w:line="240" w:lineRule="auto"/>
        <w:rPr>
          <w:b/>
        </w:rPr>
      </w:pPr>
      <w:r w:rsidRPr="000565EC">
        <w:rPr>
          <w:b/>
        </w:rPr>
        <w:t>Weiser Little Salmon Headwaters (Idaho)</w:t>
      </w:r>
    </w:p>
    <w:p w14:paraId="15CBD66B" w14:textId="77777777" w:rsidR="00480024" w:rsidRPr="00647074" w:rsidRDefault="00480024" w:rsidP="00E65B3F">
      <w:pPr>
        <w:pStyle w:val="ListParagraph"/>
        <w:spacing w:after="0" w:line="240" w:lineRule="auto"/>
      </w:pPr>
      <w:r w:rsidRPr="00647074">
        <w:t xml:space="preserve">The Wesier Little Salmon Headwaters CFLRP project on the Payette NF brought </w:t>
      </w:r>
      <w:r w:rsidRPr="00647074">
        <w:rPr>
          <w:b/>
        </w:rPr>
        <w:t>several community benefits from implementation of stewardship contracts</w:t>
      </w:r>
      <w:r w:rsidRPr="00647074">
        <w:t xml:space="preserve">.  The projects have generated increased jobs in Adams County and some stability to the timber volume offered each fiscal year.  </w:t>
      </w:r>
    </w:p>
    <w:p w14:paraId="47ED7E65" w14:textId="77777777" w:rsidR="00480024" w:rsidRPr="00647074" w:rsidRDefault="00480024" w:rsidP="00E65B3F">
      <w:pPr>
        <w:pStyle w:val="ListParagraph"/>
        <w:numPr>
          <w:ilvl w:val="1"/>
          <w:numId w:val="1"/>
        </w:numPr>
        <w:spacing w:after="0" w:line="240" w:lineRule="auto"/>
      </w:pPr>
      <w:r w:rsidRPr="00647074">
        <w:t>Between 2012 and 2016, the Payette awarded, within the WLSH CFLRP, an average of three stewardship contracts each year, for a total of nine stewardship contracts. There were also three new stewardship contracts from the Lost Creek Boulder Creek EIS awarded in 2016:  4</w:t>
      </w:r>
      <w:r w:rsidRPr="00647074">
        <w:rPr>
          <w:vertAlign w:val="superscript"/>
        </w:rPr>
        <w:t>th</w:t>
      </w:r>
      <w:r w:rsidRPr="00647074">
        <w:t xml:space="preserve"> Rock, Cold Bear, and Lost Butter.  </w:t>
      </w:r>
      <w:r w:rsidRPr="00647074">
        <w:rPr>
          <w:rFonts w:eastAsia="Calibri" w:cs="Times New Roman"/>
        </w:rPr>
        <w:t xml:space="preserve">Four additional contracts will be advertised in 2017.  </w:t>
      </w:r>
    </w:p>
    <w:p w14:paraId="7D16B304" w14:textId="77777777" w:rsidR="00480024" w:rsidRPr="00647074" w:rsidRDefault="00480024" w:rsidP="00E65B3F">
      <w:pPr>
        <w:pStyle w:val="ListParagraph"/>
        <w:numPr>
          <w:ilvl w:val="1"/>
          <w:numId w:val="1"/>
        </w:numPr>
        <w:spacing w:after="0" w:line="240" w:lineRule="auto"/>
      </w:pPr>
      <w:r w:rsidRPr="00647074">
        <w:t>Six of the stewardship contracts were purchased by Evergreen Forest, the family-owned company that manages the last remaining local sawmill</w:t>
      </w:r>
      <w:r w:rsidRPr="00647074">
        <w:rPr>
          <w:rFonts w:eastAsia="Calibri" w:cs="Times New Roman"/>
        </w:rPr>
        <w:t xml:space="preserve">  </w:t>
      </w:r>
      <w:r w:rsidRPr="00647074">
        <w:rPr>
          <w:rFonts w:eastAsia="Calibri" w:cs="Times New Roman"/>
          <w:b/>
        </w:rPr>
        <w:t>Thanks to the project area contracts, the mill was able to sustain 35 full time jobs over the past several of years</w:t>
      </w:r>
      <w:r w:rsidRPr="00647074">
        <w:rPr>
          <w:rFonts w:eastAsia="Calibri" w:cs="Times New Roman"/>
        </w:rPr>
        <w:t xml:space="preserve">. This has resulted in total labor income of $6 to $10 million per year. </w:t>
      </w:r>
      <w:r w:rsidRPr="00647074">
        <w:rPr>
          <w:rFonts w:eastAsia="Calibri" w:cs="Times New Roman"/>
          <w:b/>
        </w:rPr>
        <w:t xml:space="preserve">The mill has now begun to add an additional partial shift, and create even more local positions. </w:t>
      </w:r>
    </w:p>
    <w:p w14:paraId="6ADEA7D9" w14:textId="77777777" w:rsidR="00480024" w:rsidRDefault="00480024" w:rsidP="00E65B3F">
      <w:pPr>
        <w:pStyle w:val="ListParagraph"/>
        <w:numPr>
          <w:ilvl w:val="1"/>
          <w:numId w:val="1"/>
        </w:numPr>
        <w:spacing w:after="0" w:line="240" w:lineRule="auto"/>
      </w:pPr>
      <w:r w:rsidRPr="00647074">
        <w:rPr>
          <w:rFonts w:eastAsia="Calibri" w:cs="Times New Roman"/>
          <w:b/>
        </w:rPr>
        <w:t xml:space="preserve"> </w:t>
      </w:r>
      <w:r w:rsidRPr="00647074">
        <w:rPr>
          <w:rFonts w:eastAsia="Calibri" w:cs="Times New Roman"/>
        </w:rPr>
        <w:t xml:space="preserve">These partnerships created from WLSH CFLRP projects help promote economic growth in surrounding communities. </w:t>
      </w:r>
      <w:r w:rsidRPr="00647074">
        <w:t xml:space="preserve"> </w:t>
      </w:r>
    </w:p>
    <w:p w14:paraId="7ADA125C" w14:textId="77777777" w:rsidR="00480024" w:rsidRDefault="00480024" w:rsidP="00E65B3F">
      <w:pPr>
        <w:pStyle w:val="ListParagraph"/>
        <w:spacing w:after="0" w:line="240" w:lineRule="auto"/>
      </w:pPr>
    </w:p>
    <w:p w14:paraId="1AFF4E3B" w14:textId="77777777" w:rsidR="00480024" w:rsidRPr="000565EC" w:rsidRDefault="00480024" w:rsidP="00E65B3F">
      <w:pPr>
        <w:pStyle w:val="ListParagraph"/>
        <w:numPr>
          <w:ilvl w:val="0"/>
          <w:numId w:val="1"/>
        </w:numPr>
        <w:spacing w:after="0" w:line="240" w:lineRule="auto"/>
        <w:rPr>
          <w:b/>
        </w:rPr>
      </w:pPr>
      <w:r w:rsidRPr="000565EC">
        <w:rPr>
          <w:b/>
        </w:rPr>
        <w:t>Southern Blues Restoration Coalition (Oregon)</w:t>
      </w:r>
    </w:p>
    <w:p w14:paraId="4F68FC2F" w14:textId="77777777" w:rsidR="00480024" w:rsidRPr="00647074" w:rsidRDefault="00480024" w:rsidP="00E65B3F">
      <w:pPr>
        <w:pStyle w:val="ListParagraph"/>
        <w:spacing w:after="0" w:line="240" w:lineRule="auto"/>
      </w:pPr>
      <w:r w:rsidRPr="00647074">
        <w:t>A 2015 report</w:t>
      </w:r>
      <w:r w:rsidRPr="00647074">
        <w:rPr>
          <w:rStyle w:val="FootnoteReference"/>
        </w:rPr>
        <w:footnoteReference w:id="1"/>
      </w:r>
      <w:r w:rsidRPr="00647074">
        <w:t xml:space="preserve"> of socio-economic impacts of CFLRP implementation, commissioned jointly by Blue Mountain Forest Partners and USFS provided the following data regarding social and economic impacts in the local community. Note that restoration work has increased since the study was completed, so there is good reason to believe these trends have held steady or improved.</w:t>
      </w:r>
    </w:p>
    <w:p w14:paraId="099F6D3F" w14:textId="77777777" w:rsidR="00480024" w:rsidRPr="00647074" w:rsidRDefault="00480024" w:rsidP="00E65B3F">
      <w:pPr>
        <w:pStyle w:val="ListParagraph"/>
        <w:numPr>
          <w:ilvl w:val="1"/>
          <w:numId w:val="1"/>
        </w:numPr>
        <w:spacing w:after="0" w:line="240" w:lineRule="auto"/>
      </w:pPr>
      <w:r w:rsidRPr="00647074">
        <w:rPr>
          <w:b/>
        </w:rPr>
        <w:t>Businesses located in Grant and Harney Counties captured about 2/3 of the value</w:t>
      </w:r>
      <w:r w:rsidRPr="00647074">
        <w:t xml:space="preserve"> of the service contracts for CFLR work, a larger share than in recent years. </w:t>
      </w:r>
    </w:p>
    <w:p w14:paraId="442EB904" w14:textId="77777777" w:rsidR="00480024" w:rsidRPr="00647074" w:rsidRDefault="00480024" w:rsidP="00E65B3F">
      <w:pPr>
        <w:pStyle w:val="ListParagraph"/>
        <w:numPr>
          <w:ilvl w:val="1"/>
          <w:numId w:val="1"/>
        </w:numPr>
        <w:spacing w:after="0" w:line="240" w:lineRule="auto"/>
      </w:pPr>
      <w:r w:rsidRPr="00647074">
        <w:rPr>
          <w:b/>
        </w:rPr>
        <w:t>Local businesses purchased more than 57% of the timber volume sold</w:t>
      </w:r>
      <w:r w:rsidRPr="00647074">
        <w:t xml:space="preserve"> from the Southern Blues Restoration CFLR project. </w:t>
      </w:r>
    </w:p>
    <w:p w14:paraId="4F7CB1F5" w14:textId="77777777" w:rsidR="00480024" w:rsidRPr="00647074" w:rsidRDefault="00480024" w:rsidP="00E65B3F">
      <w:pPr>
        <w:pStyle w:val="ListParagraph"/>
        <w:spacing w:after="0" w:line="240" w:lineRule="auto"/>
      </w:pPr>
      <w:r w:rsidRPr="00647074">
        <w:t>Additional socioeconomic analysis comparing 2013 and 2016 shows that:</w:t>
      </w:r>
    </w:p>
    <w:p w14:paraId="7DC3E63B" w14:textId="77777777" w:rsidR="00480024" w:rsidRPr="00647074" w:rsidRDefault="00480024" w:rsidP="00E65B3F">
      <w:pPr>
        <w:pStyle w:val="ListParagraph"/>
        <w:numPr>
          <w:ilvl w:val="1"/>
          <w:numId w:val="1"/>
        </w:numPr>
        <w:spacing w:after="0" w:line="240" w:lineRule="auto"/>
      </w:pPr>
      <w:r w:rsidRPr="00647074">
        <w:rPr>
          <w:b/>
        </w:rPr>
        <w:t>Unemployment numbers in Grant and Harney Counties dropped</w:t>
      </w:r>
      <w:r w:rsidRPr="00647074">
        <w:t xml:space="preserve"> from 14% and 11.7% respectively to 8.1% and 6.8% since the stewardship contract began. </w:t>
      </w:r>
    </w:p>
    <w:p w14:paraId="5F646AA8" w14:textId="77777777" w:rsidR="00480024" w:rsidRPr="00647074" w:rsidRDefault="00480024" w:rsidP="00E65B3F">
      <w:pPr>
        <w:pStyle w:val="ListParagraph"/>
        <w:numPr>
          <w:ilvl w:val="1"/>
          <w:numId w:val="1"/>
        </w:numPr>
        <w:spacing w:after="0" w:line="240" w:lineRule="auto"/>
      </w:pPr>
      <w:r w:rsidRPr="00647074">
        <w:rPr>
          <w:b/>
        </w:rPr>
        <w:t>Salaries increased along with the increased number of restoration jobs</w:t>
      </w:r>
      <w:r w:rsidRPr="00647074">
        <w:t xml:space="preserve">. The Malheur NF hired 48 permanent employees and scores of seasonal staff. Iron Triangle, Malheur Lumber Company, and other subcontractors hired 50 new employees. </w:t>
      </w:r>
    </w:p>
    <w:p w14:paraId="2A5C8760" w14:textId="77777777" w:rsidR="00480024" w:rsidRPr="00647074" w:rsidRDefault="00480024" w:rsidP="00E65B3F">
      <w:pPr>
        <w:pStyle w:val="ListParagraph"/>
        <w:numPr>
          <w:ilvl w:val="1"/>
          <w:numId w:val="1"/>
        </w:numPr>
        <w:spacing w:after="0" w:line="240" w:lineRule="auto"/>
      </w:pPr>
      <w:r w:rsidRPr="00647074">
        <w:rPr>
          <w:b/>
        </w:rPr>
        <w:t>Home sales within Grant County have increased by over 200% since 2012</w:t>
      </w:r>
      <w:r w:rsidRPr="00647074">
        <w:t xml:space="preserve">, when the Stewardship Contract began. </w:t>
      </w:r>
    </w:p>
    <w:p w14:paraId="3AC22745" w14:textId="77777777" w:rsidR="00480024" w:rsidRDefault="00480024" w:rsidP="00E65B3F">
      <w:pPr>
        <w:pStyle w:val="ListParagraph"/>
        <w:numPr>
          <w:ilvl w:val="1"/>
          <w:numId w:val="1"/>
        </w:numPr>
        <w:spacing w:after="0" w:line="240" w:lineRule="auto"/>
      </w:pPr>
      <w:r w:rsidRPr="00647074">
        <w:rPr>
          <w:b/>
        </w:rPr>
        <w:t>Grant School District #3 has experience a halt to its nearly 15 year decline in enrollment</w:t>
      </w:r>
      <w:r w:rsidRPr="00647074">
        <w:t xml:space="preserve">, and in fact experienced a 4.8% increase. </w:t>
      </w:r>
    </w:p>
    <w:p w14:paraId="45696127" w14:textId="77777777" w:rsidR="00480024" w:rsidRDefault="00480024" w:rsidP="00E65B3F">
      <w:pPr>
        <w:pStyle w:val="ListParagraph"/>
        <w:spacing w:after="0" w:line="240" w:lineRule="auto"/>
        <w:ind w:left="1440"/>
      </w:pPr>
    </w:p>
    <w:p w14:paraId="76C0DBE6" w14:textId="77777777" w:rsidR="00480024" w:rsidRDefault="00480024" w:rsidP="00E65B3F">
      <w:pPr>
        <w:pStyle w:val="ListParagraph"/>
        <w:numPr>
          <w:ilvl w:val="0"/>
          <w:numId w:val="1"/>
        </w:numPr>
        <w:spacing w:after="0" w:line="240" w:lineRule="auto"/>
      </w:pPr>
      <w:r>
        <w:rPr>
          <w:b/>
        </w:rPr>
        <w:t>Shortleaf Bluestem (Arkansas and Oklahoma)</w:t>
      </w:r>
    </w:p>
    <w:p w14:paraId="5FC0F260" w14:textId="77777777" w:rsidR="00480024" w:rsidRDefault="00480024" w:rsidP="00E65B3F">
      <w:pPr>
        <w:pStyle w:val="ListParagraph"/>
        <w:spacing w:after="0" w:line="240" w:lineRule="auto"/>
        <w:rPr>
          <w:rFonts w:cstheme="minorHAnsi"/>
        </w:rPr>
      </w:pPr>
      <w:r w:rsidRPr="000565EC">
        <w:rPr>
          <w:rFonts w:cstheme="minorHAnsi"/>
          <w:b/>
        </w:rPr>
        <w:t>In 2016</w:t>
      </w:r>
      <w:r w:rsidRPr="000565EC">
        <w:rPr>
          <w:rFonts w:cstheme="minorHAnsi"/>
        </w:rPr>
        <w:t xml:space="preserve">, </w:t>
      </w:r>
      <w:r w:rsidRPr="000565EC">
        <w:rPr>
          <w:rFonts w:cstheme="minorHAnsi"/>
          <w:b/>
        </w:rPr>
        <w:t>according to the TREAT model,</w:t>
      </w:r>
      <w:r w:rsidRPr="000565EC">
        <w:rPr>
          <w:rFonts w:cstheme="minorHAnsi"/>
        </w:rPr>
        <w:t xml:space="preserve"> </w:t>
      </w:r>
      <w:r w:rsidRPr="000565EC">
        <w:rPr>
          <w:rFonts w:cstheme="minorHAnsi"/>
          <w:b/>
        </w:rPr>
        <w:t>approximately 33.7%</w:t>
      </w:r>
      <w:r w:rsidRPr="000565EC">
        <w:rPr>
          <w:rFonts w:cstheme="minorHAnsi"/>
        </w:rPr>
        <w:t xml:space="preserve"> </w:t>
      </w:r>
      <w:r w:rsidRPr="000565EC">
        <w:rPr>
          <w:rFonts w:cstheme="minorHAnsi"/>
          <w:b/>
        </w:rPr>
        <w:t>of the timber sold off the Ouachita National Forest came off the CFLRP area</w:t>
      </w:r>
      <w:r w:rsidRPr="000565EC">
        <w:rPr>
          <w:rFonts w:cstheme="minorHAnsi"/>
        </w:rPr>
        <w:t xml:space="preserve">. This timber from the CFLRP area is valued at over $1,072,843 on the stump and equates to 56,153 ccf.  Sawmills processing that timber hired or steadily employed about 187 employees and had around 79 loggers involved in the cutting of the timber.  In FY 2016, all timber sold within the CFLRP areas was bought by purchasers within the impact area. </w:t>
      </w:r>
    </w:p>
    <w:p w14:paraId="5DBD1E68" w14:textId="2ECA79F0" w:rsidR="001C7BB5" w:rsidRDefault="001C7BB5">
      <w:r>
        <w:br w:type="page"/>
      </w:r>
    </w:p>
    <w:p w14:paraId="28B4AA28" w14:textId="77777777" w:rsidR="00B70EEB" w:rsidRDefault="00B70EEB" w:rsidP="00480024">
      <w:pPr>
        <w:pStyle w:val="ListParagraph"/>
      </w:pPr>
    </w:p>
    <w:p w14:paraId="10BE2011" w14:textId="77777777" w:rsidR="00B70EEB" w:rsidRPr="00480024" w:rsidRDefault="00B70EEB" w:rsidP="00B70EEB">
      <w:pPr>
        <w:pStyle w:val="Heading1"/>
        <w:rPr>
          <w:rStyle w:val="IntenseEmphasis"/>
          <w:rFonts w:cstheme="minorBidi"/>
        </w:rPr>
      </w:pPr>
      <w:r w:rsidRPr="00480024">
        <w:rPr>
          <w:rStyle w:val="IntenseEmphasis"/>
          <w:rFonts w:cstheme="minorBidi"/>
        </w:rPr>
        <w:t>Updated FY2016 Budget Justification Table</w:t>
      </w:r>
    </w:p>
    <w:tbl>
      <w:tblPr>
        <w:tblW w:w="12306" w:type="dxa"/>
        <w:tblCellMar>
          <w:left w:w="0" w:type="dxa"/>
          <w:right w:w="0" w:type="dxa"/>
        </w:tblCellMar>
        <w:tblLook w:val="04A0" w:firstRow="1" w:lastRow="0" w:firstColumn="1" w:lastColumn="0" w:noHBand="0" w:noVBand="1"/>
      </w:tblPr>
      <w:tblGrid>
        <w:gridCol w:w="2220"/>
        <w:gridCol w:w="1218"/>
        <w:gridCol w:w="2220"/>
        <w:gridCol w:w="2220"/>
        <w:gridCol w:w="2220"/>
        <w:gridCol w:w="2208"/>
      </w:tblGrid>
      <w:tr w:rsidR="00B70EEB" w14:paraId="24408F21" w14:textId="77777777" w:rsidTr="00891D4F">
        <w:trPr>
          <w:trHeight w:val="300"/>
        </w:trPr>
        <w:tc>
          <w:tcPr>
            <w:tcW w:w="3438"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68E0E5A5" w14:textId="77777777" w:rsidR="00B70EEB" w:rsidRDefault="00B70EEB" w:rsidP="00891D4F">
            <w:pPr>
              <w:rPr>
                <w:color w:val="000000"/>
                <w:sz w:val="20"/>
                <w:szCs w:val="20"/>
              </w:rPr>
            </w:pPr>
          </w:p>
        </w:tc>
        <w:tc>
          <w:tcPr>
            <w:tcW w:w="22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6D6D0FF" w14:textId="77777777" w:rsidR="00B70EEB" w:rsidRDefault="00B70EEB" w:rsidP="00891D4F">
            <w:pPr>
              <w:jc w:val="right"/>
              <w:rPr>
                <w:rFonts w:ascii="Calibri" w:hAnsi="Calibri"/>
                <w:b/>
                <w:bCs/>
                <w:color w:val="000000"/>
                <w:sz w:val="20"/>
                <w:szCs w:val="20"/>
              </w:rPr>
            </w:pPr>
            <w:r>
              <w:rPr>
                <w:b/>
                <w:bCs/>
                <w:color w:val="000000"/>
                <w:sz w:val="20"/>
                <w:szCs w:val="20"/>
              </w:rPr>
              <w:t>FY 2015</w:t>
            </w:r>
          </w:p>
        </w:tc>
        <w:tc>
          <w:tcPr>
            <w:tcW w:w="22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1C893F" w14:textId="77777777" w:rsidR="00B70EEB" w:rsidRDefault="00B70EEB" w:rsidP="00891D4F">
            <w:pPr>
              <w:jc w:val="right"/>
              <w:rPr>
                <w:b/>
                <w:bCs/>
                <w:color w:val="000000"/>
                <w:sz w:val="20"/>
                <w:szCs w:val="20"/>
              </w:rPr>
            </w:pPr>
            <w:r>
              <w:rPr>
                <w:b/>
                <w:bCs/>
                <w:color w:val="000000"/>
                <w:sz w:val="20"/>
                <w:szCs w:val="20"/>
              </w:rPr>
              <w:t>FY 2016 (</w:t>
            </w:r>
            <w:r w:rsidRPr="00872AA9">
              <w:rPr>
                <w:b/>
                <w:bCs/>
                <w:color w:val="000000"/>
                <w:sz w:val="20"/>
                <w:szCs w:val="20"/>
                <w:u w:val="single"/>
              </w:rPr>
              <w:t>Projected</w:t>
            </w:r>
            <w:r>
              <w:rPr>
                <w:b/>
                <w:bCs/>
                <w:color w:val="000000"/>
                <w:sz w:val="20"/>
                <w:szCs w:val="20"/>
              </w:rPr>
              <w:t>)</w:t>
            </w:r>
          </w:p>
        </w:tc>
        <w:tc>
          <w:tcPr>
            <w:tcW w:w="2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CA2215" w14:textId="77777777" w:rsidR="00B70EEB" w:rsidRDefault="00B70EEB" w:rsidP="00891D4F">
            <w:pPr>
              <w:jc w:val="right"/>
              <w:rPr>
                <w:b/>
                <w:bCs/>
                <w:color w:val="000000"/>
                <w:sz w:val="20"/>
                <w:szCs w:val="20"/>
              </w:rPr>
            </w:pPr>
            <w:r>
              <w:rPr>
                <w:b/>
                <w:bCs/>
                <w:color w:val="000000"/>
                <w:sz w:val="20"/>
                <w:szCs w:val="20"/>
              </w:rPr>
              <w:t>FY 2016 (Actual)</w:t>
            </w:r>
          </w:p>
        </w:tc>
        <w:tc>
          <w:tcPr>
            <w:tcW w:w="22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8A648F" w14:textId="77777777" w:rsidR="00B70EEB" w:rsidRDefault="00B70EEB" w:rsidP="00891D4F">
            <w:pPr>
              <w:jc w:val="right"/>
              <w:rPr>
                <w:b/>
                <w:bCs/>
                <w:color w:val="000000"/>
                <w:sz w:val="20"/>
                <w:szCs w:val="20"/>
              </w:rPr>
            </w:pPr>
            <w:r>
              <w:rPr>
                <w:b/>
                <w:bCs/>
                <w:color w:val="000000"/>
                <w:sz w:val="20"/>
                <w:szCs w:val="20"/>
              </w:rPr>
              <w:t>FY 2017 (</w:t>
            </w:r>
            <w:r w:rsidRPr="00872AA9">
              <w:rPr>
                <w:b/>
                <w:bCs/>
                <w:color w:val="000000"/>
                <w:sz w:val="20"/>
                <w:szCs w:val="20"/>
                <w:u w:val="single"/>
              </w:rPr>
              <w:t>Projected</w:t>
            </w:r>
            <w:r>
              <w:rPr>
                <w:b/>
                <w:bCs/>
                <w:color w:val="000000"/>
                <w:sz w:val="20"/>
                <w:szCs w:val="20"/>
              </w:rPr>
              <w:t xml:space="preserve">) </w:t>
            </w:r>
          </w:p>
        </w:tc>
      </w:tr>
      <w:tr w:rsidR="00B70EEB" w14:paraId="37432447" w14:textId="77777777" w:rsidTr="00891D4F">
        <w:trPr>
          <w:trHeight w:val="300"/>
        </w:trPr>
        <w:tc>
          <w:tcPr>
            <w:tcW w:w="2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BF9BE9" w14:textId="77777777" w:rsidR="00B70EEB" w:rsidRDefault="00B70EEB" w:rsidP="00891D4F">
            <w:pPr>
              <w:rPr>
                <w:b/>
                <w:bCs/>
                <w:color w:val="000000"/>
                <w:sz w:val="20"/>
                <w:szCs w:val="20"/>
              </w:rPr>
            </w:pPr>
          </w:p>
        </w:tc>
        <w:tc>
          <w:tcPr>
            <w:tcW w:w="10086"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CD18F4" w14:textId="77777777" w:rsidR="00B70EEB" w:rsidRDefault="00B70EEB" w:rsidP="00891D4F">
            <w:pPr>
              <w:rPr>
                <w:color w:val="000000"/>
                <w:sz w:val="20"/>
                <w:szCs w:val="20"/>
              </w:rPr>
            </w:pPr>
            <w:r>
              <w:rPr>
                <w:b/>
                <w:bCs/>
                <w:color w:val="000000"/>
                <w:sz w:val="20"/>
                <w:szCs w:val="20"/>
              </w:rPr>
              <w:t>Expenditures On NFS Lands</w:t>
            </w:r>
          </w:p>
        </w:tc>
      </w:tr>
      <w:tr w:rsidR="00B70EEB" w14:paraId="153E5A1E" w14:textId="77777777" w:rsidTr="00891D4F">
        <w:trPr>
          <w:trHeight w:val="300"/>
        </w:trPr>
        <w:tc>
          <w:tcPr>
            <w:tcW w:w="3438"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D39741" w14:textId="77777777" w:rsidR="00B70EEB" w:rsidRDefault="00B70EEB" w:rsidP="00891D4F">
            <w:pPr>
              <w:jc w:val="right"/>
              <w:rPr>
                <w:color w:val="000000"/>
                <w:sz w:val="20"/>
                <w:szCs w:val="20"/>
              </w:rPr>
            </w:pPr>
            <w:r>
              <w:rPr>
                <w:color w:val="000000"/>
                <w:sz w:val="20"/>
                <w:szCs w:val="20"/>
              </w:rPr>
              <w:t>CFLRP Appropriation</w:t>
            </w:r>
            <w:r>
              <w:rPr>
                <w:rStyle w:val="FootnoteReference"/>
                <w:color w:val="000000"/>
              </w:rPr>
              <w:footnoteReference w:customMarkFollows="1" w:id="2"/>
              <w:t>[1]</w:t>
            </w:r>
          </w:p>
        </w:tc>
        <w:tc>
          <w:tcPr>
            <w:tcW w:w="22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5E5BD3" w14:textId="77777777" w:rsidR="00B70EEB" w:rsidRDefault="00B70EEB" w:rsidP="00891D4F">
            <w:pPr>
              <w:jc w:val="right"/>
              <w:rPr>
                <w:color w:val="000000"/>
                <w:sz w:val="20"/>
                <w:szCs w:val="20"/>
              </w:rPr>
            </w:pPr>
            <w:r>
              <w:rPr>
                <w:color w:val="000000"/>
                <w:sz w:val="20"/>
                <w:szCs w:val="20"/>
              </w:rPr>
              <w:t>$40,000,000</w:t>
            </w:r>
          </w:p>
        </w:tc>
        <w:tc>
          <w:tcPr>
            <w:tcW w:w="2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F584DE" w14:textId="77777777" w:rsidR="00B70EEB" w:rsidRDefault="00B70EEB" w:rsidP="00891D4F">
            <w:pPr>
              <w:jc w:val="right"/>
              <w:rPr>
                <w:color w:val="000000"/>
                <w:sz w:val="20"/>
                <w:szCs w:val="20"/>
              </w:rPr>
            </w:pPr>
            <w:r>
              <w:rPr>
                <w:color w:val="000000"/>
                <w:sz w:val="20"/>
                <w:szCs w:val="20"/>
              </w:rPr>
              <w:t>$40,000,000</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14:paraId="74F722F8" w14:textId="77777777" w:rsidR="00B70EEB" w:rsidRDefault="00B70EEB" w:rsidP="00891D4F">
            <w:pPr>
              <w:jc w:val="right"/>
              <w:rPr>
                <w:color w:val="000000"/>
                <w:sz w:val="20"/>
                <w:szCs w:val="20"/>
              </w:rPr>
            </w:pPr>
            <w:r>
              <w:rPr>
                <w:color w:val="000000"/>
                <w:sz w:val="20"/>
                <w:szCs w:val="20"/>
              </w:rPr>
              <w:t>$40,000,000</w:t>
            </w:r>
          </w:p>
        </w:tc>
        <w:tc>
          <w:tcPr>
            <w:tcW w:w="2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057AA1" w14:textId="77777777" w:rsidR="00B70EEB" w:rsidRDefault="00B70EEB" w:rsidP="00891D4F">
            <w:pPr>
              <w:jc w:val="right"/>
              <w:rPr>
                <w:color w:val="000000"/>
                <w:sz w:val="20"/>
                <w:szCs w:val="20"/>
              </w:rPr>
            </w:pPr>
            <w:r>
              <w:rPr>
                <w:color w:val="000000"/>
                <w:sz w:val="20"/>
                <w:szCs w:val="20"/>
              </w:rPr>
              <w:t>$40,000,000</w:t>
            </w:r>
          </w:p>
        </w:tc>
      </w:tr>
      <w:tr w:rsidR="00B70EEB" w14:paraId="6B7AD8DE" w14:textId="77777777" w:rsidTr="00891D4F">
        <w:trPr>
          <w:trHeight w:val="300"/>
        </w:trPr>
        <w:tc>
          <w:tcPr>
            <w:tcW w:w="3438"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13EC65" w14:textId="77777777" w:rsidR="00B70EEB" w:rsidRDefault="00B70EEB" w:rsidP="00891D4F">
            <w:pPr>
              <w:jc w:val="right"/>
              <w:rPr>
                <w:i/>
                <w:iCs/>
                <w:color w:val="000000"/>
                <w:sz w:val="20"/>
                <w:szCs w:val="20"/>
              </w:rPr>
            </w:pPr>
            <w:r>
              <w:rPr>
                <w:i/>
                <w:iCs/>
                <w:color w:val="000000"/>
                <w:sz w:val="20"/>
                <w:szCs w:val="20"/>
              </w:rPr>
              <w:t>CFLR Appropriation Expenditures</w:t>
            </w:r>
            <w:r>
              <w:rPr>
                <w:rStyle w:val="FootnoteReference"/>
                <w:b/>
                <w:bCs/>
                <w:i/>
                <w:iCs/>
                <w:color w:val="000000"/>
              </w:rPr>
              <w:footnoteReference w:customMarkFollows="1" w:id="3"/>
              <w:t>[2]</w:t>
            </w:r>
          </w:p>
        </w:tc>
        <w:tc>
          <w:tcPr>
            <w:tcW w:w="22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609AB5" w14:textId="77777777" w:rsidR="00B70EEB" w:rsidRDefault="00B70EEB" w:rsidP="00891D4F">
            <w:pPr>
              <w:jc w:val="right"/>
              <w:rPr>
                <w:i/>
                <w:iCs/>
                <w:color w:val="000000"/>
                <w:sz w:val="20"/>
                <w:szCs w:val="20"/>
              </w:rPr>
            </w:pPr>
            <w:r>
              <w:rPr>
                <w:i/>
                <w:iCs/>
                <w:color w:val="000000"/>
                <w:sz w:val="20"/>
                <w:szCs w:val="20"/>
              </w:rPr>
              <w:t>$27,627,280</w:t>
            </w:r>
          </w:p>
        </w:tc>
        <w:tc>
          <w:tcPr>
            <w:tcW w:w="2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1BFE8D" w14:textId="77777777" w:rsidR="00B70EEB" w:rsidRDefault="00B70EEB" w:rsidP="00891D4F">
            <w:pPr>
              <w:jc w:val="right"/>
              <w:rPr>
                <w:i/>
                <w:iCs/>
                <w:color w:val="000000"/>
                <w:sz w:val="20"/>
                <w:szCs w:val="20"/>
              </w:rPr>
            </w:pPr>
            <w:r>
              <w:rPr>
                <w:i/>
                <w:iCs/>
                <w:color w:val="000000"/>
                <w:sz w:val="20"/>
                <w:szCs w:val="20"/>
              </w:rPr>
              <w:t>$28,000,000</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14:paraId="6101372B" w14:textId="77777777" w:rsidR="00B70EEB" w:rsidRDefault="00B70EEB" w:rsidP="00891D4F">
            <w:pPr>
              <w:jc w:val="right"/>
              <w:rPr>
                <w:i/>
                <w:iCs/>
                <w:color w:val="000000"/>
                <w:sz w:val="20"/>
                <w:szCs w:val="20"/>
              </w:rPr>
            </w:pPr>
            <w:r>
              <w:rPr>
                <w:i/>
                <w:iCs/>
                <w:color w:val="000000"/>
                <w:sz w:val="20"/>
                <w:szCs w:val="20"/>
              </w:rPr>
              <w:t>$29,800,759</w:t>
            </w:r>
          </w:p>
        </w:tc>
        <w:tc>
          <w:tcPr>
            <w:tcW w:w="2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AE658F" w14:textId="77777777" w:rsidR="00B70EEB" w:rsidRDefault="00B70EEB" w:rsidP="00891D4F">
            <w:pPr>
              <w:jc w:val="right"/>
              <w:rPr>
                <w:i/>
                <w:iCs/>
                <w:color w:val="000000"/>
                <w:sz w:val="20"/>
                <w:szCs w:val="20"/>
              </w:rPr>
            </w:pPr>
            <w:r>
              <w:rPr>
                <w:i/>
                <w:iCs/>
                <w:color w:val="000000"/>
                <w:sz w:val="20"/>
                <w:szCs w:val="20"/>
              </w:rPr>
              <w:t>$28,000,000</w:t>
            </w:r>
          </w:p>
        </w:tc>
      </w:tr>
      <w:tr w:rsidR="00B70EEB" w14:paraId="7D63B22C" w14:textId="77777777" w:rsidTr="00891D4F">
        <w:trPr>
          <w:trHeight w:val="300"/>
        </w:trPr>
        <w:tc>
          <w:tcPr>
            <w:tcW w:w="3438"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DEA625" w14:textId="77777777" w:rsidR="00B70EEB" w:rsidRDefault="00B70EEB" w:rsidP="00891D4F">
            <w:pPr>
              <w:jc w:val="right"/>
              <w:rPr>
                <w:color w:val="000000"/>
                <w:sz w:val="20"/>
                <w:szCs w:val="20"/>
              </w:rPr>
            </w:pPr>
            <w:r>
              <w:rPr>
                <w:color w:val="000000"/>
                <w:sz w:val="20"/>
                <w:szCs w:val="20"/>
              </w:rPr>
              <w:t>Total FS Investments in Restoration-Related Work</w:t>
            </w:r>
            <w:r>
              <w:rPr>
                <w:rStyle w:val="FootnoteReference"/>
                <w:color w:val="000000"/>
              </w:rPr>
              <w:footnoteReference w:customMarkFollows="1" w:id="4"/>
              <w:t>[3]</w:t>
            </w:r>
          </w:p>
        </w:tc>
        <w:tc>
          <w:tcPr>
            <w:tcW w:w="22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98D00E" w14:textId="77777777" w:rsidR="00B70EEB" w:rsidRDefault="00B70EEB" w:rsidP="00891D4F">
            <w:pPr>
              <w:jc w:val="right"/>
              <w:rPr>
                <w:color w:val="000000"/>
                <w:sz w:val="20"/>
                <w:szCs w:val="20"/>
              </w:rPr>
            </w:pPr>
            <w:r>
              <w:rPr>
                <w:color w:val="000000"/>
                <w:sz w:val="20"/>
                <w:szCs w:val="20"/>
              </w:rPr>
              <w:t>$60,382,180</w:t>
            </w:r>
          </w:p>
        </w:tc>
        <w:tc>
          <w:tcPr>
            <w:tcW w:w="2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72712C" w14:textId="77777777" w:rsidR="00B70EEB" w:rsidRDefault="00B70EEB" w:rsidP="00891D4F">
            <w:pPr>
              <w:jc w:val="right"/>
              <w:rPr>
                <w:color w:val="000000"/>
                <w:sz w:val="20"/>
                <w:szCs w:val="20"/>
              </w:rPr>
            </w:pPr>
            <w:r>
              <w:rPr>
                <w:color w:val="000000"/>
                <w:sz w:val="20"/>
                <w:szCs w:val="20"/>
              </w:rPr>
              <w:t>$60,000,000</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14:paraId="406C4E6C" w14:textId="77777777" w:rsidR="00B70EEB" w:rsidRDefault="00B70EEB" w:rsidP="00891D4F">
            <w:pPr>
              <w:jc w:val="right"/>
              <w:rPr>
                <w:color w:val="000000"/>
                <w:sz w:val="20"/>
                <w:szCs w:val="20"/>
              </w:rPr>
            </w:pPr>
            <w:bookmarkStart w:id="1" w:name="OLE_LINK1"/>
            <w:r w:rsidRPr="0064730F">
              <w:rPr>
                <w:color w:val="000000"/>
                <w:sz w:val="20"/>
                <w:szCs w:val="20"/>
              </w:rPr>
              <w:t>$90,782,952</w:t>
            </w:r>
            <w:bookmarkEnd w:id="1"/>
          </w:p>
        </w:tc>
        <w:tc>
          <w:tcPr>
            <w:tcW w:w="2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949DF" w14:textId="77777777" w:rsidR="00B70EEB" w:rsidRDefault="00B70EEB" w:rsidP="00891D4F">
            <w:pPr>
              <w:jc w:val="right"/>
              <w:rPr>
                <w:color w:val="000000"/>
                <w:sz w:val="20"/>
                <w:szCs w:val="20"/>
              </w:rPr>
            </w:pPr>
            <w:r>
              <w:rPr>
                <w:color w:val="000000"/>
                <w:sz w:val="20"/>
                <w:szCs w:val="20"/>
              </w:rPr>
              <w:t>$60,000,000</w:t>
            </w:r>
          </w:p>
        </w:tc>
      </w:tr>
      <w:tr w:rsidR="00B70EEB" w14:paraId="37C5ACBE" w14:textId="77777777" w:rsidTr="00891D4F">
        <w:trPr>
          <w:trHeight w:val="300"/>
        </w:trPr>
        <w:tc>
          <w:tcPr>
            <w:tcW w:w="3438"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4B72ABB" w14:textId="77777777" w:rsidR="00B70EEB" w:rsidRDefault="00B70EEB" w:rsidP="00891D4F">
            <w:pPr>
              <w:jc w:val="right"/>
              <w:rPr>
                <w:color w:val="000000"/>
                <w:sz w:val="20"/>
                <w:szCs w:val="20"/>
              </w:rPr>
            </w:pPr>
            <w:r>
              <w:rPr>
                <w:color w:val="000000"/>
                <w:sz w:val="20"/>
                <w:szCs w:val="20"/>
              </w:rPr>
              <w:t>Partner Match</w:t>
            </w:r>
          </w:p>
        </w:tc>
        <w:tc>
          <w:tcPr>
            <w:tcW w:w="22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EF45BD" w14:textId="77777777" w:rsidR="00B70EEB" w:rsidRDefault="00B70EEB" w:rsidP="00891D4F">
            <w:pPr>
              <w:jc w:val="right"/>
              <w:rPr>
                <w:color w:val="000000"/>
                <w:sz w:val="20"/>
                <w:szCs w:val="20"/>
              </w:rPr>
            </w:pPr>
            <w:r>
              <w:rPr>
                <w:color w:val="000000"/>
                <w:sz w:val="20"/>
                <w:szCs w:val="20"/>
              </w:rPr>
              <w:t>$15,225,920</w:t>
            </w:r>
          </w:p>
        </w:tc>
        <w:tc>
          <w:tcPr>
            <w:tcW w:w="2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33C9A" w14:textId="77777777" w:rsidR="00B70EEB" w:rsidRDefault="00B70EEB" w:rsidP="00891D4F">
            <w:pPr>
              <w:jc w:val="right"/>
              <w:rPr>
                <w:color w:val="000000"/>
                <w:sz w:val="20"/>
                <w:szCs w:val="20"/>
              </w:rPr>
            </w:pPr>
            <w:r>
              <w:rPr>
                <w:color w:val="000000"/>
                <w:sz w:val="20"/>
                <w:szCs w:val="20"/>
              </w:rPr>
              <w:t>$18,000,000</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14:paraId="6B48AAB9" w14:textId="77777777" w:rsidR="00B70EEB" w:rsidRDefault="00B70EEB" w:rsidP="00891D4F">
            <w:pPr>
              <w:jc w:val="right"/>
              <w:rPr>
                <w:color w:val="000000"/>
                <w:sz w:val="20"/>
                <w:szCs w:val="20"/>
              </w:rPr>
            </w:pPr>
            <w:r>
              <w:rPr>
                <w:color w:val="000000"/>
                <w:sz w:val="20"/>
                <w:szCs w:val="20"/>
              </w:rPr>
              <w:t>$18,686,186</w:t>
            </w:r>
          </w:p>
        </w:tc>
        <w:tc>
          <w:tcPr>
            <w:tcW w:w="2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CA5FAF" w14:textId="77777777" w:rsidR="00B70EEB" w:rsidRDefault="00B70EEB" w:rsidP="00891D4F">
            <w:pPr>
              <w:jc w:val="right"/>
              <w:rPr>
                <w:color w:val="000000"/>
                <w:sz w:val="20"/>
                <w:szCs w:val="20"/>
              </w:rPr>
            </w:pPr>
            <w:r>
              <w:rPr>
                <w:color w:val="000000"/>
                <w:sz w:val="20"/>
                <w:szCs w:val="20"/>
              </w:rPr>
              <w:t>$20,000,000</w:t>
            </w:r>
          </w:p>
        </w:tc>
      </w:tr>
      <w:tr w:rsidR="00B70EEB" w14:paraId="0B8E86A1" w14:textId="77777777" w:rsidTr="00891D4F">
        <w:trPr>
          <w:trHeight w:val="300"/>
        </w:trPr>
        <w:tc>
          <w:tcPr>
            <w:tcW w:w="3438"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80CBA4" w14:textId="77777777" w:rsidR="00B70EEB" w:rsidRDefault="00B70EEB" w:rsidP="00891D4F">
            <w:pPr>
              <w:jc w:val="right"/>
              <w:rPr>
                <w:color w:val="000000"/>
                <w:sz w:val="20"/>
                <w:szCs w:val="20"/>
              </w:rPr>
            </w:pPr>
            <w:r>
              <w:rPr>
                <w:color w:val="000000"/>
                <w:sz w:val="20"/>
                <w:szCs w:val="20"/>
              </w:rPr>
              <w:t>Estimated Goods for Services</w:t>
            </w:r>
            <w:r>
              <w:rPr>
                <w:rStyle w:val="FootnoteReference"/>
                <w:color w:val="000000"/>
              </w:rPr>
              <w:footnoteReference w:customMarkFollows="1" w:id="5"/>
              <w:t>[4]</w:t>
            </w:r>
          </w:p>
        </w:tc>
        <w:tc>
          <w:tcPr>
            <w:tcW w:w="22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112B85" w14:textId="77777777" w:rsidR="00B70EEB" w:rsidRDefault="00B70EEB" w:rsidP="00891D4F">
            <w:pPr>
              <w:jc w:val="right"/>
              <w:rPr>
                <w:color w:val="000000"/>
                <w:sz w:val="20"/>
                <w:szCs w:val="20"/>
              </w:rPr>
            </w:pPr>
            <w:r>
              <w:rPr>
                <w:color w:val="000000"/>
                <w:sz w:val="20"/>
                <w:szCs w:val="20"/>
              </w:rPr>
              <w:t>$5,917,780</w:t>
            </w:r>
          </w:p>
        </w:tc>
        <w:tc>
          <w:tcPr>
            <w:tcW w:w="2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BF5819" w14:textId="77777777" w:rsidR="00B70EEB" w:rsidRDefault="00B70EEB" w:rsidP="00891D4F">
            <w:pPr>
              <w:jc w:val="right"/>
              <w:rPr>
                <w:color w:val="000000"/>
                <w:sz w:val="20"/>
                <w:szCs w:val="20"/>
              </w:rPr>
            </w:pPr>
            <w:r>
              <w:rPr>
                <w:color w:val="000000"/>
                <w:sz w:val="20"/>
                <w:szCs w:val="20"/>
              </w:rPr>
              <w:t>$6,000,000</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14:paraId="51A37532" w14:textId="77777777" w:rsidR="00B70EEB" w:rsidRPr="0064730F" w:rsidRDefault="00B70EEB" w:rsidP="00891D4F">
            <w:pPr>
              <w:jc w:val="right"/>
              <w:rPr>
                <w:color w:val="000000"/>
                <w:sz w:val="20"/>
                <w:szCs w:val="20"/>
              </w:rPr>
            </w:pPr>
            <w:r w:rsidRPr="0064730F">
              <w:rPr>
                <w:color w:val="000000"/>
                <w:sz w:val="20"/>
                <w:szCs w:val="20"/>
              </w:rPr>
              <w:t>$12,199,779</w:t>
            </w:r>
          </w:p>
        </w:tc>
        <w:tc>
          <w:tcPr>
            <w:tcW w:w="2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D3EF43" w14:textId="5185F5EF" w:rsidR="00B70EEB" w:rsidRPr="0064730F" w:rsidRDefault="00B70EEB" w:rsidP="00891D4F">
            <w:pPr>
              <w:jc w:val="right"/>
              <w:rPr>
                <w:color w:val="000000"/>
                <w:sz w:val="20"/>
                <w:szCs w:val="20"/>
              </w:rPr>
            </w:pPr>
            <w:r w:rsidRPr="0064730F">
              <w:rPr>
                <w:color w:val="000000"/>
                <w:sz w:val="20"/>
                <w:szCs w:val="20"/>
              </w:rPr>
              <w:t>$12,000,000</w:t>
            </w:r>
          </w:p>
        </w:tc>
      </w:tr>
      <w:tr w:rsidR="00B70EEB" w14:paraId="58D1BC2E" w14:textId="77777777" w:rsidTr="00891D4F">
        <w:trPr>
          <w:trHeight w:val="300"/>
        </w:trPr>
        <w:tc>
          <w:tcPr>
            <w:tcW w:w="2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CF852F" w14:textId="77777777" w:rsidR="00B70EEB" w:rsidRDefault="00B70EEB" w:rsidP="00891D4F">
            <w:pPr>
              <w:rPr>
                <w:b/>
                <w:bCs/>
                <w:color w:val="000000"/>
                <w:sz w:val="20"/>
                <w:szCs w:val="20"/>
              </w:rPr>
            </w:pPr>
          </w:p>
        </w:tc>
        <w:tc>
          <w:tcPr>
            <w:tcW w:w="10086"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354CD8" w14:textId="77777777" w:rsidR="00B70EEB" w:rsidRPr="0064730F" w:rsidRDefault="00B70EEB" w:rsidP="00891D4F">
            <w:pPr>
              <w:rPr>
                <w:color w:val="000000"/>
                <w:sz w:val="20"/>
                <w:szCs w:val="20"/>
              </w:rPr>
            </w:pPr>
            <w:r w:rsidRPr="0064730F">
              <w:rPr>
                <w:b/>
                <w:bCs/>
                <w:color w:val="000000"/>
                <w:sz w:val="20"/>
                <w:szCs w:val="20"/>
              </w:rPr>
              <w:t>Additional Funding Invested and Generated</w:t>
            </w:r>
          </w:p>
        </w:tc>
      </w:tr>
      <w:tr w:rsidR="00B70EEB" w14:paraId="2DD78B80" w14:textId="77777777" w:rsidTr="00891D4F">
        <w:trPr>
          <w:trHeight w:val="300"/>
        </w:trPr>
        <w:tc>
          <w:tcPr>
            <w:tcW w:w="3438"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12D1605" w14:textId="77777777" w:rsidR="00B70EEB" w:rsidRDefault="00B70EEB" w:rsidP="00891D4F">
            <w:pPr>
              <w:rPr>
                <w:color w:val="000000"/>
                <w:sz w:val="20"/>
                <w:szCs w:val="20"/>
              </w:rPr>
            </w:pPr>
            <w:r>
              <w:rPr>
                <w:color w:val="000000"/>
                <w:sz w:val="20"/>
                <w:szCs w:val="20"/>
              </w:rPr>
              <w:t>Leveraged Funds</w:t>
            </w:r>
            <w:r>
              <w:rPr>
                <w:rStyle w:val="FootnoteReference"/>
                <w:color w:val="000000"/>
              </w:rPr>
              <w:footnoteReference w:customMarkFollows="1" w:id="6"/>
              <w:t>[5]</w:t>
            </w:r>
          </w:p>
        </w:tc>
        <w:tc>
          <w:tcPr>
            <w:tcW w:w="22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B2611C" w14:textId="77777777" w:rsidR="00B70EEB" w:rsidRDefault="00B70EEB" w:rsidP="00891D4F">
            <w:pPr>
              <w:jc w:val="right"/>
              <w:rPr>
                <w:color w:val="000000"/>
                <w:sz w:val="20"/>
                <w:szCs w:val="20"/>
              </w:rPr>
            </w:pPr>
            <w:r>
              <w:rPr>
                <w:color w:val="000000"/>
                <w:sz w:val="20"/>
                <w:szCs w:val="20"/>
              </w:rPr>
              <w:t xml:space="preserve">$62,166,490 </w:t>
            </w:r>
          </w:p>
        </w:tc>
        <w:tc>
          <w:tcPr>
            <w:tcW w:w="2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4437DB" w14:textId="77777777" w:rsidR="00B70EEB" w:rsidRDefault="00B70EEB" w:rsidP="00891D4F">
            <w:pPr>
              <w:jc w:val="right"/>
              <w:rPr>
                <w:color w:val="000000"/>
                <w:sz w:val="20"/>
                <w:szCs w:val="20"/>
              </w:rPr>
            </w:pPr>
            <w:r>
              <w:rPr>
                <w:color w:val="000000"/>
                <w:sz w:val="20"/>
                <w:szCs w:val="20"/>
              </w:rPr>
              <w:t>$63,000,000</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14:paraId="531F92D7" w14:textId="77777777" w:rsidR="00B70EEB" w:rsidRPr="0064730F" w:rsidRDefault="00B70EEB" w:rsidP="00891D4F">
            <w:pPr>
              <w:jc w:val="right"/>
              <w:rPr>
                <w:color w:val="000000"/>
                <w:sz w:val="20"/>
                <w:szCs w:val="20"/>
              </w:rPr>
            </w:pPr>
            <w:r w:rsidRPr="0064730F">
              <w:rPr>
                <w:color w:val="000000"/>
                <w:sz w:val="20"/>
                <w:szCs w:val="20"/>
              </w:rPr>
              <w:t>$29,966,964</w:t>
            </w:r>
          </w:p>
        </w:tc>
        <w:tc>
          <w:tcPr>
            <w:tcW w:w="2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512A7A" w14:textId="77777777" w:rsidR="00B70EEB" w:rsidRPr="0064730F" w:rsidRDefault="00B70EEB" w:rsidP="00891D4F">
            <w:pPr>
              <w:jc w:val="right"/>
              <w:rPr>
                <w:color w:val="000000"/>
                <w:sz w:val="20"/>
                <w:szCs w:val="20"/>
              </w:rPr>
            </w:pPr>
            <w:r w:rsidRPr="0064730F">
              <w:rPr>
                <w:color w:val="000000"/>
                <w:sz w:val="20"/>
                <w:szCs w:val="20"/>
              </w:rPr>
              <w:t>$63,000,000</w:t>
            </w:r>
          </w:p>
        </w:tc>
      </w:tr>
      <w:tr w:rsidR="00B70EEB" w14:paraId="2929AC8D" w14:textId="77777777" w:rsidTr="00E65B3F">
        <w:trPr>
          <w:trHeight w:val="300"/>
        </w:trPr>
        <w:tc>
          <w:tcPr>
            <w:tcW w:w="3438"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0F66AC" w14:textId="77777777" w:rsidR="00B70EEB" w:rsidRDefault="00B70EEB" w:rsidP="00891D4F">
            <w:pPr>
              <w:rPr>
                <w:b/>
                <w:bCs/>
                <w:color w:val="000000"/>
                <w:sz w:val="20"/>
                <w:szCs w:val="20"/>
              </w:rPr>
            </w:pPr>
            <w:r>
              <w:rPr>
                <w:b/>
                <w:bCs/>
                <w:color w:val="000000"/>
                <w:sz w:val="20"/>
                <w:szCs w:val="20"/>
              </w:rPr>
              <w:t>Estimated Local Labor Income Generated</w:t>
            </w:r>
            <w:r>
              <w:rPr>
                <w:rStyle w:val="FootnoteReference"/>
                <w:b/>
                <w:bCs/>
                <w:color w:val="000000"/>
              </w:rPr>
              <w:footnoteReference w:customMarkFollows="1" w:id="7"/>
              <w:t>[6]</w:t>
            </w:r>
          </w:p>
        </w:tc>
        <w:tc>
          <w:tcPr>
            <w:tcW w:w="22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6E29EAB" w14:textId="77777777" w:rsidR="00B70EEB" w:rsidRDefault="00B70EEB" w:rsidP="00891D4F">
            <w:pPr>
              <w:jc w:val="right"/>
              <w:rPr>
                <w:color w:val="FF0000"/>
                <w:sz w:val="20"/>
                <w:szCs w:val="20"/>
              </w:rPr>
            </w:pPr>
            <w:r>
              <w:rPr>
                <w:sz w:val="20"/>
                <w:szCs w:val="20"/>
              </w:rPr>
              <w:t>$264,866,300</w:t>
            </w:r>
          </w:p>
          <w:p w14:paraId="3EEDB2DB" w14:textId="77777777" w:rsidR="00B70EEB" w:rsidRDefault="00B70EEB" w:rsidP="00891D4F">
            <w:pPr>
              <w:jc w:val="right"/>
              <w:rPr>
                <w:color w:val="000000"/>
                <w:sz w:val="20"/>
                <w:szCs w:val="20"/>
              </w:rPr>
            </w:pP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14:paraId="3FF33FE5" w14:textId="77777777" w:rsidR="00B70EEB" w:rsidRDefault="00B70EEB" w:rsidP="00E65B3F">
            <w:pPr>
              <w:jc w:val="right"/>
              <w:rPr>
                <w:color w:val="000000"/>
                <w:sz w:val="20"/>
                <w:szCs w:val="20"/>
              </w:rPr>
            </w:pPr>
            <w:r>
              <w:rPr>
                <w:color w:val="000000"/>
                <w:sz w:val="20"/>
                <w:szCs w:val="20"/>
              </w:rPr>
              <w:t>$265,000,000</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14:paraId="71E700D7" w14:textId="77777777" w:rsidR="00B70EEB" w:rsidRPr="0064730F" w:rsidRDefault="00B70EEB" w:rsidP="00891D4F">
            <w:pPr>
              <w:jc w:val="right"/>
              <w:rPr>
                <w:color w:val="000000"/>
                <w:sz w:val="20"/>
                <w:szCs w:val="20"/>
              </w:rPr>
            </w:pPr>
            <w:r w:rsidRPr="0064730F">
              <w:rPr>
                <w:color w:val="000000"/>
                <w:sz w:val="20"/>
                <w:szCs w:val="20"/>
              </w:rPr>
              <w:t>$295,173,495</w:t>
            </w:r>
          </w:p>
        </w:tc>
        <w:tc>
          <w:tcPr>
            <w:tcW w:w="2208" w:type="dxa"/>
            <w:tcBorders>
              <w:top w:val="nil"/>
              <w:left w:val="nil"/>
              <w:bottom w:val="single" w:sz="8" w:space="0" w:color="auto"/>
              <w:right w:val="single" w:sz="8" w:space="0" w:color="auto"/>
            </w:tcBorders>
            <w:tcMar>
              <w:top w:w="0" w:type="dxa"/>
              <w:left w:w="108" w:type="dxa"/>
              <w:bottom w:w="0" w:type="dxa"/>
              <w:right w:w="108" w:type="dxa"/>
            </w:tcMar>
            <w:hideMark/>
          </w:tcPr>
          <w:p w14:paraId="46183157" w14:textId="77777777" w:rsidR="00B70EEB" w:rsidRPr="0064730F" w:rsidRDefault="00B70EEB" w:rsidP="00E65B3F">
            <w:pPr>
              <w:jc w:val="right"/>
              <w:rPr>
                <w:color w:val="000000"/>
                <w:sz w:val="20"/>
                <w:szCs w:val="20"/>
              </w:rPr>
            </w:pPr>
            <w:r w:rsidRPr="0064730F">
              <w:rPr>
                <w:color w:val="000000"/>
                <w:sz w:val="20"/>
                <w:szCs w:val="20"/>
              </w:rPr>
              <w:t>$265,000,000</w:t>
            </w:r>
          </w:p>
        </w:tc>
      </w:tr>
    </w:tbl>
    <w:p w14:paraId="3ECD5DD0" w14:textId="77777777" w:rsidR="00B70EEB" w:rsidRDefault="00B70EEB" w:rsidP="00B70EEB">
      <w:pPr>
        <w:rPr>
          <w:rFonts w:cs="Times New Roman"/>
          <w:b/>
          <w:i/>
        </w:rPr>
      </w:pPr>
      <w:r w:rsidRPr="00BC7976">
        <w:rPr>
          <w:rFonts w:cs="Times New Roman"/>
          <w:b/>
          <w:i/>
        </w:rPr>
        <w:t xml:space="preserve">*See appendix for </w:t>
      </w:r>
      <w:r>
        <w:rPr>
          <w:rFonts w:cs="Times New Roman"/>
          <w:b/>
          <w:i/>
        </w:rPr>
        <w:t>additional data</w:t>
      </w:r>
      <w:r w:rsidRPr="00BC7976">
        <w:rPr>
          <w:rFonts w:cs="Times New Roman"/>
          <w:b/>
          <w:i/>
        </w:rPr>
        <w:t xml:space="preserve"> and methodology </w:t>
      </w:r>
    </w:p>
    <w:p w14:paraId="6794BE11" w14:textId="77777777" w:rsidR="00B70EEB" w:rsidRDefault="00B70EEB" w:rsidP="00B70EEB">
      <w:pPr>
        <w:pStyle w:val="Heading3"/>
      </w:pPr>
      <w:r>
        <w:lastRenderedPageBreak/>
        <w:t>Why is the FY2016 “Total FS Investments” level higher than the FY2015 level (and higher than projected)?</w:t>
      </w:r>
    </w:p>
    <w:p w14:paraId="1FEF7A95" w14:textId="704E9646" w:rsidR="00B70EEB" w:rsidRDefault="00B70EEB" w:rsidP="00B70EEB">
      <w:r>
        <w:t xml:space="preserve">The ~$90 Million total FS investments includes </w:t>
      </w:r>
      <w:r w:rsidRPr="001600BF">
        <w:t>additional NFRR provided (about $1.5 million)</w:t>
      </w:r>
      <w:r>
        <w:t xml:space="preserve"> and </w:t>
      </w:r>
      <w:r w:rsidRPr="001600BF">
        <w:t xml:space="preserve">$10 million WFHF </w:t>
      </w:r>
      <w:r>
        <w:t>(</w:t>
      </w:r>
      <w:r w:rsidRPr="001600BF">
        <w:t>that S&amp;PF provided</w:t>
      </w:r>
      <w:r>
        <w:t>)</w:t>
      </w:r>
      <w:r w:rsidRPr="001600BF">
        <w:t xml:space="preserve"> </w:t>
      </w:r>
      <w:r>
        <w:t>to support a 169% increase in footprint accomplishment acres on the Four Forest Restoration Initiative project. Regions have discretion to allocate appropriated funding to support priority treatments and landscapes. Higher investment levels from FY2015 for 14 of the 23 projects supported increased overall accomplishments levels in FY2016:</w:t>
      </w:r>
    </w:p>
    <w:p w14:paraId="413E6F69" w14:textId="77777777" w:rsidR="00B70EEB" w:rsidRDefault="00B70EEB" w:rsidP="00B70EEB">
      <w:r>
        <w:rPr>
          <w:noProof/>
        </w:rPr>
        <w:drawing>
          <wp:inline distT="0" distB="0" distL="0" distR="0" wp14:anchorId="30E63EA2" wp14:editId="0E95B394">
            <wp:extent cx="7391400" cy="3886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344DB5A" w14:textId="77777777" w:rsidR="00B70EEB" w:rsidRDefault="00B70EEB" w:rsidP="00B70EEB">
      <w:pPr>
        <w:rPr>
          <w:rFonts w:ascii="Times New Roman" w:eastAsia="Times New Roman" w:hAnsi="Times New Roman" w:cs="Times New Roman"/>
          <w:b/>
          <w:bCs/>
          <w:sz w:val="24"/>
          <w:szCs w:val="24"/>
        </w:rPr>
      </w:pPr>
      <w:r w:rsidRPr="0064730F">
        <w:rPr>
          <w:rFonts w:ascii="Times New Roman" w:eastAsia="Times New Roman" w:hAnsi="Times New Roman" w:cs="Times New Roman"/>
          <w:b/>
          <w:bCs/>
          <w:sz w:val="24"/>
          <w:szCs w:val="24"/>
        </w:rPr>
        <w:t xml:space="preserve">Why is the “leverage” total lower than projected? </w:t>
      </w:r>
    </w:p>
    <w:p w14:paraId="539FB4C1" w14:textId="77777777" w:rsidR="00B70EEB" w:rsidRPr="0064730F" w:rsidRDefault="00B70EEB" w:rsidP="00B70EEB">
      <w:pPr>
        <w:pStyle w:val="FootnoteText"/>
        <w:rPr>
          <w:rFonts w:asciiTheme="minorHAnsi" w:hAnsiTheme="minorHAnsi"/>
          <w:sz w:val="22"/>
          <w:szCs w:val="22"/>
        </w:rPr>
      </w:pPr>
      <w:r>
        <w:rPr>
          <w:rFonts w:asciiTheme="minorHAnsi" w:hAnsiTheme="minorHAnsi"/>
          <w:sz w:val="22"/>
          <w:szCs w:val="22"/>
        </w:rPr>
        <w:t xml:space="preserve">The Waldo Canyon Recovery Funds and Colorado State Funds received by the Colorado Front Range Project represented ~$25 Million of the FY15 leverage, and these funding streams ended in FY2016. However, the project expects new leverage opportunities through the Denver Water Partnership moving forward. This water provider funding may be key to consistency. </w:t>
      </w:r>
    </w:p>
    <w:p w14:paraId="19CA430F" w14:textId="77777777" w:rsidR="00BC2627" w:rsidRPr="00B57565" w:rsidRDefault="00BC2627" w:rsidP="00480024">
      <w:pPr>
        <w:pStyle w:val="Heading1"/>
      </w:pPr>
      <w:r>
        <w:lastRenderedPageBreak/>
        <w:t>What have we learned from CFLR?</w:t>
      </w:r>
    </w:p>
    <w:p w14:paraId="7F7B58E8" w14:textId="77777777" w:rsidR="00BC2627" w:rsidRDefault="00BC2627" w:rsidP="00BC2627">
      <w:pPr>
        <w:pStyle w:val="NoSpacing"/>
        <w:numPr>
          <w:ilvl w:val="0"/>
          <w:numId w:val="4"/>
        </w:numPr>
        <w:rPr>
          <w:rFonts w:ascii="Times New Roman" w:hAnsi="Times New Roman" w:cs="Times New Roman"/>
          <w:sz w:val="24"/>
          <w:szCs w:val="24"/>
        </w:rPr>
      </w:pPr>
      <w:r w:rsidRPr="00B57565">
        <w:rPr>
          <w:rFonts w:ascii="Times New Roman" w:hAnsi="Times New Roman" w:cs="Times New Roman"/>
          <w:b/>
          <w:sz w:val="24"/>
          <w:szCs w:val="24"/>
        </w:rPr>
        <w:t xml:space="preserve">Through its community-driven approach to restoration and shared stewardship for multiple benefits, CFLRP has taught us important lessons </w:t>
      </w:r>
      <w:r w:rsidRPr="00B57565">
        <w:rPr>
          <w:rFonts w:ascii="Times New Roman" w:hAnsi="Times New Roman" w:cs="Times New Roman"/>
          <w:sz w:val="24"/>
          <w:szCs w:val="24"/>
        </w:rPr>
        <w:t>about how to work collaboratively at the landscape-scale to achieve forest restoration goals and build sustainable, thriving rural communities.</w:t>
      </w:r>
    </w:p>
    <w:p w14:paraId="630B4B3D" w14:textId="77777777" w:rsidR="00BC2627" w:rsidRPr="00B57565" w:rsidRDefault="00BC2627" w:rsidP="00BC2627">
      <w:pPr>
        <w:pStyle w:val="NoSpacing"/>
        <w:numPr>
          <w:ilvl w:val="0"/>
          <w:numId w:val="4"/>
        </w:numPr>
        <w:rPr>
          <w:rFonts w:ascii="Times New Roman" w:hAnsi="Times New Roman" w:cs="Times New Roman"/>
          <w:sz w:val="24"/>
          <w:szCs w:val="24"/>
        </w:rPr>
      </w:pPr>
      <w:r w:rsidRPr="00B57565">
        <w:rPr>
          <w:rFonts w:ascii="Times New Roman" w:hAnsi="Times New Roman" w:cs="Times New Roman"/>
          <w:b/>
          <w:sz w:val="24"/>
          <w:szCs w:val="24"/>
        </w:rPr>
        <w:t>Several elements of CFLRP have been highly effective</w:t>
      </w:r>
      <w:r w:rsidRPr="00B57565">
        <w:rPr>
          <w:rFonts w:ascii="Times New Roman" w:hAnsi="Times New Roman" w:cs="Times New Roman"/>
          <w:sz w:val="24"/>
          <w:szCs w:val="24"/>
        </w:rPr>
        <w:t xml:space="preserve"> at promoting healthy forests, reducing fire risk and building strong local economies.</w:t>
      </w:r>
    </w:p>
    <w:p w14:paraId="06192239" w14:textId="77777777" w:rsidR="00BC2627" w:rsidRPr="00B57565" w:rsidRDefault="00BC2627" w:rsidP="00BC2627">
      <w:pPr>
        <w:pStyle w:val="NoSpacing"/>
        <w:numPr>
          <w:ilvl w:val="1"/>
          <w:numId w:val="4"/>
        </w:numPr>
        <w:rPr>
          <w:rFonts w:ascii="Times New Roman" w:hAnsi="Times New Roman" w:cs="Times New Roman"/>
          <w:sz w:val="24"/>
          <w:szCs w:val="24"/>
        </w:rPr>
      </w:pPr>
      <w:r w:rsidRPr="00B57565">
        <w:rPr>
          <w:rFonts w:ascii="Times New Roman" w:hAnsi="Times New Roman" w:cs="Times New Roman"/>
          <w:b/>
          <w:sz w:val="24"/>
          <w:szCs w:val="24"/>
        </w:rPr>
        <w:t>10-year funding commitment with accountability and requirement for partner match</w:t>
      </w:r>
      <w:r w:rsidRPr="00B57565">
        <w:rPr>
          <w:rFonts w:ascii="Times New Roman" w:hAnsi="Times New Roman" w:cs="Times New Roman"/>
          <w:sz w:val="24"/>
          <w:szCs w:val="24"/>
        </w:rPr>
        <w:t xml:space="preserve"> –10-year funding enables projects to leverage partner dollars and work at the needed scale to make an impact.  We would keep the requirement for partner match and also add performance benchmarks for continued funding.</w:t>
      </w:r>
    </w:p>
    <w:p w14:paraId="0D42A85F" w14:textId="77777777" w:rsidR="00BC2627" w:rsidRPr="00B57565" w:rsidRDefault="00BC2627" w:rsidP="00BC2627">
      <w:pPr>
        <w:pStyle w:val="NoSpacing"/>
        <w:numPr>
          <w:ilvl w:val="1"/>
          <w:numId w:val="4"/>
        </w:numPr>
        <w:rPr>
          <w:rFonts w:ascii="Times New Roman" w:hAnsi="Times New Roman" w:cs="Times New Roman"/>
          <w:sz w:val="24"/>
          <w:szCs w:val="24"/>
        </w:rPr>
      </w:pPr>
      <w:r w:rsidRPr="00B57565">
        <w:rPr>
          <w:rFonts w:ascii="Times New Roman" w:hAnsi="Times New Roman" w:cs="Times New Roman"/>
          <w:b/>
          <w:sz w:val="24"/>
          <w:szCs w:val="24"/>
        </w:rPr>
        <w:t>Collaboratively developed and implemented projects</w:t>
      </w:r>
      <w:r w:rsidRPr="00B57565">
        <w:rPr>
          <w:rFonts w:ascii="Times New Roman" w:hAnsi="Times New Roman" w:cs="Times New Roman"/>
          <w:sz w:val="24"/>
          <w:szCs w:val="24"/>
        </w:rPr>
        <w:t xml:space="preserve"> – Bringing business, environmental, state, tribal and local government interests to project design leads to a durable project.  It also enables us to leverage partner resources and expertise.</w:t>
      </w:r>
    </w:p>
    <w:p w14:paraId="5141F8D0" w14:textId="77777777" w:rsidR="00BC2627" w:rsidRPr="00B57565" w:rsidRDefault="00BC2627" w:rsidP="00BC2627">
      <w:pPr>
        <w:pStyle w:val="NoSpacing"/>
        <w:numPr>
          <w:ilvl w:val="1"/>
          <w:numId w:val="4"/>
        </w:numPr>
        <w:rPr>
          <w:rFonts w:ascii="Times New Roman" w:hAnsi="Times New Roman" w:cs="Times New Roman"/>
          <w:sz w:val="24"/>
          <w:szCs w:val="24"/>
        </w:rPr>
      </w:pPr>
      <w:r w:rsidRPr="00B57565">
        <w:rPr>
          <w:rFonts w:ascii="Times New Roman" w:hAnsi="Times New Roman" w:cs="Times New Roman"/>
          <w:b/>
          <w:sz w:val="24"/>
          <w:szCs w:val="24"/>
        </w:rPr>
        <w:t>Multi-party monitoring</w:t>
      </w:r>
      <w:r w:rsidRPr="00B57565">
        <w:rPr>
          <w:rFonts w:ascii="Times New Roman" w:hAnsi="Times New Roman" w:cs="Times New Roman"/>
          <w:sz w:val="24"/>
          <w:szCs w:val="24"/>
        </w:rPr>
        <w:t xml:space="preserve"> – Dedicated funding and requirements for multi-party monitoring are critical to ensure projects are on track to meet their goals and make adjustments when needed.  </w:t>
      </w:r>
    </w:p>
    <w:p w14:paraId="6AF31528" w14:textId="77777777" w:rsidR="00BC2627" w:rsidRPr="00B57565" w:rsidRDefault="00BC2627" w:rsidP="00BC2627">
      <w:pPr>
        <w:pStyle w:val="NoSpacing"/>
        <w:numPr>
          <w:ilvl w:val="1"/>
          <w:numId w:val="4"/>
        </w:numPr>
        <w:rPr>
          <w:rFonts w:ascii="Times New Roman" w:hAnsi="Times New Roman" w:cs="Times New Roman"/>
          <w:sz w:val="24"/>
          <w:szCs w:val="24"/>
        </w:rPr>
      </w:pPr>
      <w:r>
        <w:rPr>
          <w:rFonts w:ascii="Times New Roman" w:hAnsi="Times New Roman" w:cs="Times New Roman"/>
          <w:b/>
          <w:sz w:val="24"/>
          <w:szCs w:val="24"/>
        </w:rPr>
        <w:t>Investing in ecological, economic, and</w:t>
      </w:r>
      <w:r w:rsidRPr="00B57565">
        <w:rPr>
          <w:rFonts w:ascii="Times New Roman" w:hAnsi="Times New Roman" w:cs="Times New Roman"/>
          <w:b/>
          <w:sz w:val="24"/>
          <w:szCs w:val="24"/>
        </w:rPr>
        <w:t xml:space="preserve"> social </w:t>
      </w:r>
      <w:r w:rsidRPr="001743B9">
        <w:rPr>
          <w:rFonts w:ascii="Times New Roman" w:hAnsi="Times New Roman" w:cs="Times New Roman"/>
          <w:b/>
          <w:sz w:val="24"/>
          <w:szCs w:val="24"/>
        </w:rPr>
        <w:t>sustainability (you need all three)</w:t>
      </w:r>
      <w:r>
        <w:rPr>
          <w:rFonts w:ascii="Times New Roman" w:hAnsi="Times New Roman" w:cs="Times New Roman"/>
          <w:sz w:val="24"/>
          <w:szCs w:val="24"/>
        </w:rPr>
        <w:t xml:space="preserve"> </w:t>
      </w:r>
      <w:r w:rsidRPr="00B57565">
        <w:rPr>
          <w:rFonts w:ascii="Times New Roman" w:hAnsi="Times New Roman" w:cs="Times New Roman"/>
          <w:sz w:val="24"/>
          <w:szCs w:val="24"/>
        </w:rPr>
        <w:t xml:space="preserve">– </w:t>
      </w:r>
      <w:r>
        <w:rPr>
          <w:rFonts w:ascii="Times New Roman" w:hAnsi="Times New Roman" w:cs="Times New Roman"/>
          <w:sz w:val="24"/>
          <w:szCs w:val="24"/>
        </w:rPr>
        <w:t xml:space="preserve">A major strength of CFLR is that it invests in restoration for the </w:t>
      </w:r>
      <w:r w:rsidRPr="00B57565">
        <w:rPr>
          <w:rFonts w:ascii="Times New Roman" w:hAnsi="Times New Roman" w:cs="Times New Roman"/>
          <w:sz w:val="24"/>
          <w:szCs w:val="24"/>
        </w:rPr>
        <w:t xml:space="preserve">resilience of landscapes </w:t>
      </w:r>
      <w:r w:rsidRPr="00B57565">
        <w:rPr>
          <w:rFonts w:ascii="Times New Roman" w:hAnsi="Times New Roman" w:cs="Times New Roman"/>
          <w:b/>
          <w:sz w:val="24"/>
          <w:szCs w:val="24"/>
          <w:u w:val="single"/>
        </w:rPr>
        <w:t>and</w:t>
      </w:r>
      <w:r w:rsidRPr="00B57565">
        <w:rPr>
          <w:rFonts w:ascii="Times New Roman" w:hAnsi="Times New Roman" w:cs="Times New Roman"/>
          <w:sz w:val="24"/>
          <w:szCs w:val="24"/>
        </w:rPr>
        <w:t xml:space="preserve"> communities, including the goods and services that communities value for economic and social well-being, such as a susta</w:t>
      </w:r>
      <w:r>
        <w:rPr>
          <w:rFonts w:ascii="Times New Roman" w:hAnsi="Times New Roman" w:cs="Times New Roman"/>
          <w:sz w:val="24"/>
          <w:szCs w:val="24"/>
        </w:rPr>
        <w:t xml:space="preserve">inable supply of wood products, </w:t>
      </w:r>
      <w:r w:rsidRPr="00B57565">
        <w:rPr>
          <w:rFonts w:ascii="Times New Roman" w:hAnsi="Times New Roman" w:cs="Times New Roman"/>
          <w:sz w:val="24"/>
          <w:szCs w:val="24"/>
        </w:rPr>
        <w:t>job training and youth engagem</w:t>
      </w:r>
      <w:r>
        <w:rPr>
          <w:rFonts w:ascii="Times New Roman" w:hAnsi="Times New Roman" w:cs="Times New Roman"/>
          <w:sz w:val="24"/>
          <w:szCs w:val="24"/>
        </w:rPr>
        <w:t>ent opportunities, and investing in social capacity, i.e. building collaboratives.</w:t>
      </w:r>
      <w:r w:rsidRPr="00B57565">
        <w:rPr>
          <w:rFonts w:ascii="Times New Roman" w:hAnsi="Times New Roman" w:cs="Times New Roman"/>
          <w:sz w:val="24"/>
          <w:szCs w:val="24"/>
        </w:rPr>
        <w:t xml:space="preserve"> </w:t>
      </w:r>
      <w:r>
        <w:rPr>
          <w:rFonts w:ascii="Times New Roman" w:hAnsi="Times New Roman" w:cs="Times New Roman"/>
          <w:sz w:val="24"/>
          <w:szCs w:val="24"/>
        </w:rPr>
        <w:t>We can build on this further by expanding the scope to recreation and tourism.</w:t>
      </w:r>
    </w:p>
    <w:p w14:paraId="1D0D11DB" w14:textId="77777777" w:rsidR="00BC2627" w:rsidRPr="00B57565" w:rsidRDefault="00BC2627" w:rsidP="00BC2627">
      <w:pPr>
        <w:pStyle w:val="NoSpacing"/>
        <w:rPr>
          <w:rFonts w:ascii="Times New Roman" w:hAnsi="Times New Roman" w:cs="Times New Roman"/>
          <w:sz w:val="24"/>
          <w:szCs w:val="24"/>
        </w:rPr>
      </w:pPr>
    </w:p>
    <w:p w14:paraId="71F2300B" w14:textId="77777777" w:rsidR="00BC2627" w:rsidRDefault="00BC2627"/>
    <w:p w14:paraId="03326ED7" w14:textId="77777777" w:rsidR="00480024" w:rsidRDefault="00480024" w:rsidP="00480024">
      <w:pPr>
        <w:pStyle w:val="Heading1"/>
      </w:pPr>
    </w:p>
    <w:p w14:paraId="73B7D33A" w14:textId="77777777" w:rsidR="00480024" w:rsidRDefault="00480024" w:rsidP="00480024">
      <w:pPr>
        <w:pStyle w:val="Heading1"/>
      </w:pPr>
    </w:p>
    <w:p w14:paraId="6E2F3AC0" w14:textId="77777777" w:rsidR="00480024" w:rsidRDefault="00480024" w:rsidP="00480024">
      <w:pPr>
        <w:pStyle w:val="Heading1"/>
      </w:pPr>
    </w:p>
    <w:p w14:paraId="097ADAFC" w14:textId="77777777" w:rsidR="00020528" w:rsidRDefault="00020528" w:rsidP="00020528"/>
    <w:p w14:paraId="492FBD54" w14:textId="77777777" w:rsidR="00020528" w:rsidRDefault="00020528" w:rsidP="00020528"/>
    <w:p w14:paraId="477F19CE" w14:textId="77777777" w:rsidR="00020528" w:rsidRDefault="00020528" w:rsidP="00020528"/>
    <w:p w14:paraId="720DC8F4" w14:textId="77777777" w:rsidR="00020528" w:rsidRDefault="00020528" w:rsidP="00020528"/>
    <w:p w14:paraId="15E31FAC" w14:textId="77777777" w:rsidR="00020528" w:rsidRDefault="00020528" w:rsidP="00020528"/>
    <w:p w14:paraId="4542B3AB" w14:textId="77777777" w:rsidR="00020528" w:rsidRPr="00020528" w:rsidRDefault="00020528" w:rsidP="00020528"/>
    <w:p w14:paraId="24EDBA22" w14:textId="77777777" w:rsidR="00480024" w:rsidRDefault="00480024" w:rsidP="00480024"/>
    <w:p w14:paraId="6CB9B1AD" w14:textId="25736140" w:rsidR="009D724D" w:rsidRDefault="00480024" w:rsidP="00480024">
      <w:pPr>
        <w:pStyle w:val="Heading1"/>
      </w:pPr>
      <w:r>
        <w:t>Appendix</w:t>
      </w:r>
    </w:p>
    <w:p w14:paraId="56669D4E" w14:textId="77777777" w:rsidR="00480024" w:rsidRPr="00480024" w:rsidRDefault="00480024" w:rsidP="00480024"/>
    <w:tbl>
      <w:tblPr>
        <w:tblStyle w:val="TableGrid"/>
        <w:tblW w:w="4320" w:type="dxa"/>
        <w:tblLayout w:type="fixed"/>
        <w:tblLook w:val="04A0" w:firstRow="1" w:lastRow="0" w:firstColumn="1" w:lastColumn="0" w:noHBand="0" w:noVBand="1"/>
      </w:tblPr>
      <w:tblGrid>
        <w:gridCol w:w="1440"/>
        <w:gridCol w:w="1440"/>
        <w:gridCol w:w="1440"/>
      </w:tblGrid>
      <w:tr w:rsidR="001C7BB5" w:rsidRPr="00B70EEB" w14:paraId="50937C9A" w14:textId="2561C347" w:rsidTr="004C0D09">
        <w:trPr>
          <w:trHeight w:val="440"/>
        </w:trPr>
        <w:tc>
          <w:tcPr>
            <w:tcW w:w="1440" w:type="dxa"/>
            <w:vAlign w:val="center"/>
          </w:tcPr>
          <w:p w14:paraId="60E97458" w14:textId="45256D69" w:rsidR="001C7BB5" w:rsidRPr="00B70EEB" w:rsidRDefault="001C7BB5" w:rsidP="001C7BB5">
            <w:pPr>
              <w:rPr>
                <w:rFonts w:ascii="Calibri" w:eastAsia="Times New Roman" w:hAnsi="Calibri" w:cs="Times New Roman"/>
                <w:b/>
                <w:bCs/>
                <w:color w:val="000000"/>
              </w:rPr>
            </w:pPr>
            <w:r>
              <w:rPr>
                <w:rFonts w:ascii="Calibri" w:hAnsi="Calibri"/>
                <w:b/>
                <w:bCs/>
                <w:color w:val="000000"/>
              </w:rPr>
              <w:t>NFS Footprint within CFLR Boundary (Acres)</w:t>
            </w:r>
          </w:p>
        </w:tc>
        <w:tc>
          <w:tcPr>
            <w:tcW w:w="1440" w:type="dxa"/>
            <w:vAlign w:val="center"/>
          </w:tcPr>
          <w:p w14:paraId="32283FDA" w14:textId="47E327A4" w:rsidR="001C7BB5" w:rsidRPr="00B70EEB" w:rsidRDefault="001C7BB5" w:rsidP="001C7BB5">
            <w:pPr>
              <w:rPr>
                <w:rFonts w:ascii="Calibri" w:eastAsia="Times New Roman" w:hAnsi="Calibri" w:cs="Times New Roman"/>
                <w:b/>
                <w:bCs/>
                <w:color w:val="000000"/>
              </w:rPr>
            </w:pPr>
            <w:r>
              <w:rPr>
                <w:rFonts w:ascii="Calibri" w:hAnsi="Calibri"/>
                <w:b/>
                <w:bCs/>
                <w:color w:val="000000"/>
              </w:rPr>
              <w:t>NFS "Treatable Acres" Footprint (Acres)</w:t>
            </w:r>
          </w:p>
        </w:tc>
        <w:tc>
          <w:tcPr>
            <w:tcW w:w="1440" w:type="dxa"/>
            <w:vAlign w:val="center"/>
          </w:tcPr>
          <w:p w14:paraId="772138F8" w14:textId="707497E4" w:rsidR="001C7BB5" w:rsidRPr="00B70EEB" w:rsidRDefault="001C7BB5" w:rsidP="001C7BB5">
            <w:pPr>
              <w:rPr>
                <w:rFonts w:ascii="Calibri" w:eastAsia="Times New Roman" w:hAnsi="Calibri" w:cs="Times New Roman"/>
                <w:b/>
                <w:bCs/>
                <w:color w:val="000000"/>
              </w:rPr>
            </w:pPr>
            <w:r>
              <w:rPr>
                <w:rFonts w:ascii="Calibri" w:hAnsi="Calibri"/>
                <w:b/>
                <w:bCs/>
                <w:color w:val="000000"/>
              </w:rPr>
              <w:t xml:space="preserve">Percent of Total NFS Acreage Comprised of CFLRP NFS Lands </w:t>
            </w:r>
          </w:p>
        </w:tc>
      </w:tr>
      <w:tr w:rsidR="001C7BB5" w:rsidRPr="00B70EEB" w14:paraId="5A3AF22E" w14:textId="48DB4B57" w:rsidTr="001C7BB5">
        <w:trPr>
          <w:trHeight w:val="665"/>
        </w:trPr>
        <w:tc>
          <w:tcPr>
            <w:tcW w:w="1440" w:type="dxa"/>
            <w:vAlign w:val="center"/>
          </w:tcPr>
          <w:p w14:paraId="09129E74" w14:textId="0431308D" w:rsidR="001C7BB5" w:rsidRPr="00B70EEB" w:rsidRDefault="001C7BB5" w:rsidP="001C7BB5">
            <w:pPr>
              <w:jc w:val="center"/>
              <w:rPr>
                <w:rFonts w:ascii="Calibri" w:eastAsia="Times New Roman" w:hAnsi="Calibri" w:cs="Times New Roman"/>
                <w:bCs/>
                <w:color w:val="000000"/>
              </w:rPr>
            </w:pPr>
            <w:r>
              <w:rPr>
                <w:rFonts w:ascii="Calibri" w:hAnsi="Calibri"/>
                <w:b/>
                <w:bCs/>
                <w:color w:val="000000"/>
              </w:rPr>
              <w:t>11,280,551</w:t>
            </w:r>
          </w:p>
        </w:tc>
        <w:tc>
          <w:tcPr>
            <w:tcW w:w="1440" w:type="dxa"/>
            <w:vAlign w:val="center"/>
          </w:tcPr>
          <w:p w14:paraId="52475769" w14:textId="00CF52BB" w:rsidR="001C7BB5" w:rsidRPr="00B70EEB" w:rsidRDefault="001C7BB5" w:rsidP="001C7BB5">
            <w:pPr>
              <w:rPr>
                <w:rFonts w:ascii="Calibri" w:eastAsia="Times New Roman" w:hAnsi="Calibri" w:cs="Times New Roman"/>
                <w:color w:val="000000"/>
              </w:rPr>
            </w:pPr>
            <w:r>
              <w:rPr>
                <w:rFonts w:ascii="Calibri" w:hAnsi="Calibri"/>
                <w:b/>
                <w:bCs/>
                <w:color w:val="000000"/>
              </w:rPr>
              <w:t>99,217,485</w:t>
            </w:r>
          </w:p>
        </w:tc>
        <w:tc>
          <w:tcPr>
            <w:tcW w:w="1440" w:type="dxa"/>
            <w:vAlign w:val="center"/>
          </w:tcPr>
          <w:p w14:paraId="2A557CAB" w14:textId="2CA57C25" w:rsidR="001C7BB5" w:rsidRPr="00B70EEB" w:rsidRDefault="001C7BB5" w:rsidP="001C7BB5">
            <w:pPr>
              <w:rPr>
                <w:rFonts w:ascii="Calibri" w:eastAsia="Times New Roman" w:hAnsi="Calibri" w:cs="Times New Roman"/>
                <w:b/>
                <w:bCs/>
                <w:color w:val="000000"/>
              </w:rPr>
            </w:pPr>
            <w:r>
              <w:rPr>
                <w:rFonts w:ascii="Calibri" w:hAnsi="Calibri"/>
                <w:b/>
                <w:bCs/>
                <w:color w:val="000000"/>
              </w:rPr>
              <w:t>11.4%</w:t>
            </w:r>
          </w:p>
        </w:tc>
      </w:tr>
    </w:tbl>
    <w:p w14:paraId="396FE42F" w14:textId="66C1BB28" w:rsidR="00133770" w:rsidRPr="00B70EEB" w:rsidRDefault="001C7BB5">
      <w:r w:rsidRPr="001C7BB5">
        <w:t>These acres were calculated using the Albers Equal Area Projection (commonly used on a national scale.  Analysis clipped the CFLR boundary to the NFS boundary and removed roadless areas, wilderness areas, and major water bodies.</w:t>
      </w:r>
    </w:p>
    <w:tbl>
      <w:tblPr>
        <w:tblStyle w:val="TableGrid"/>
        <w:tblW w:w="8124" w:type="dxa"/>
        <w:tblLayout w:type="fixed"/>
        <w:tblLook w:val="04A0" w:firstRow="1" w:lastRow="0" w:firstColumn="1" w:lastColumn="0" w:noHBand="0" w:noVBand="1"/>
      </w:tblPr>
      <w:tblGrid>
        <w:gridCol w:w="2176"/>
        <w:gridCol w:w="2176"/>
        <w:gridCol w:w="1886"/>
        <w:gridCol w:w="1886"/>
      </w:tblGrid>
      <w:tr w:rsidR="00133770" w:rsidRPr="00B70EEB" w14:paraId="1B0DE49E" w14:textId="77777777" w:rsidTr="00133770">
        <w:trPr>
          <w:trHeight w:val="440"/>
        </w:trPr>
        <w:tc>
          <w:tcPr>
            <w:tcW w:w="2176" w:type="dxa"/>
          </w:tcPr>
          <w:p w14:paraId="12AD4E5A" w14:textId="6BAC29A0" w:rsidR="00133770" w:rsidRPr="00B70EEB" w:rsidRDefault="00B70EEB" w:rsidP="00891D4F">
            <w:pPr>
              <w:rPr>
                <w:rFonts w:ascii="Calibri" w:eastAsia="Times New Roman" w:hAnsi="Calibri" w:cs="Times New Roman"/>
                <w:b/>
                <w:bCs/>
                <w:color w:val="000000"/>
              </w:rPr>
            </w:pPr>
            <w:r w:rsidRPr="00B70EEB">
              <w:rPr>
                <w:rFonts w:ascii="Calibri" w:eastAsia="Times New Roman" w:hAnsi="Calibri" w:cs="Times New Roman"/>
                <w:b/>
                <w:bCs/>
                <w:color w:val="000000"/>
              </w:rPr>
              <w:t>Performance Measure</w:t>
            </w:r>
          </w:p>
        </w:tc>
        <w:tc>
          <w:tcPr>
            <w:tcW w:w="2176" w:type="dxa"/>
          </w:tcPr>
          <w:p w14:paraId="6FD88094" w14:textId="4A70CAB7" w:rsidR="00133770" w:rsidRPr="00B70EEB" w:rsidRDefault="00133770" w:rsidP="00133770">
            <w:pPr>
              <w:rPr>
                <w:rFonts w:ascii="Calibri" w:eastAsia="Times New Roman" w:hAnsi="Calibri" w:cs="Times New Roman"/>
                <w:b/>
                <w:bCs/>
                <w:color w:val="000000"/>
              </w:rPr>
            </w:pPr>
            <w:r w:rsidRPr="00B70EEB">
              <w:rPr>
                <w:rFonts w:ascii="Calibri" w:eastAsia="Times New Roman" w:hAnsi="Calibri" w:cs="Times New Roman"/>
                <w:b/>
                <w:bCs/>
                <w:color w:val="000000"/>
              </w:rPr>
              <w:t xml:space="preserve">FY2016 CFLR Accomplishments </w:t>
            </w:r>
          </w:p>
        </w:tc>
        <w:tc>
          <w:tcPr>
            <w:tcW w:w="1886" w:type="dxa"/>
          </w:tcPr>
          <w:p w14:paraId="24D7AD08" w14:textId="551291F5" w:rsidR="00133770" w:rsidRPr="00B70EEB" w:rsidRDefault="00133770" w:rsidP="00891D4F">
            <w:pPr>
              <w:rPr>
                <w:rFonts w:ascii="Calibri" w:eastAsia="Times New Roman" w:hAnsi="Calibri" w:cs="Times New Roman"/>
                <w:b/>
                <w:bCs/>
                <w:color w:val="000000"/>
              </w:rPr>
            </w:pPr>
            <w:r w:rsidRPr="00B70EEB">
              <w:rPr>
                <w:rFonts w:ascii="Calibri" w:eastAsia="Times New Roman" w:hAnsi="Calibri" w:cs="Times New Roman"/>
                <w:b/>
                <w:bCs/>
                <w:color w:val="000000"/>
              </w:rPr>
              <w:t>FY2016 Agency Accomplishments</w:t>
            </w:r>
          </w:p>
        </w:tc>
        <w:tc>
          <w:tcPr>
            <w:tcW w:w="1886" w:type="dxa"/>
          </w:tcPr>
          <w:p w14:paraId="5FC99C95" w14:textId="1F2335E7" w:rsidR="00133770" w:rsidRPr="00B70EEB" w:rsidRDefault="00133770" w:rsidP="00891D4F">
            <w:pPr>
              <w:rPr>
                <w:rFonts w:ascii="Calibri" w:eastAsia="Times New Roman" w:hAnsi="Calibri" w:cs="Times New Roman"/>
                <w:b/>
                <w:bCs/>
                <w:color w:val="000000"/>
              </w:rPr>
            </w:pPr>
            <w:r w:rsidRPr="00B70EEB">
              <w:rPr>
                <w:rFonts w:ascii="Calibri" w:eastAsia="Times New Roman" w:hAnsi="Calibri" w:cs="Times New Roman"/>
                <w:b/>
                <w:bCs/>
                <w:color w:val="000000"/>
              </w:rPr>
              <w:t xml:space="preserve">% Contribution to National FY2016 Haz Fuels </w:t>
            </w:r>
          </w:p>
        </w:tc>
      </w:tr>
      <w:tr w:rsidR="00133770" w:rsidRPr="00B70EEB" w14:paraId="1E09D5CC" w14:textId="77777777" w:rsidTr="00133770">
        <w:trPr>
          <w:trHeight w:val="440"/>
        </w:trPr>
        <w:tc>
          <w:tcPr>
            <w:tcW w:w="2176" w:type="dxa"/>
          </w:tcPr>
          <w:p w14:paraId="251A1AC3" w14:textId="06FD1247" w:rsidR="00133770" w:rsidRPr="00B70EEB" w:rsidRDefault="00133770" w:rsidP="00891D4F">
            <w:pPr>
              <w:rPr>
                <w:rFonts w:ascii="Calibri" w:hAnsi="Calibri"/>
                <w:b/>
                <w:color w:val="000000"/>
              </w:rPr>
            </w:pPr>
            <w:r w:rsidRPr="00B70EEB">
              <w:rPr>
                <w:rFonts w:ascii="Calibri" w:hAnsi="Calibri"/>
                <w:b/>
                <w:color w:val="000000"/>
              </w:rPr>
              <w:t>Hazardous Fuels (WUI and non-WUI) (Acres)</w:t>
            </w:r>
          </w:p>
        </w:tc>
        <w:tc>
          <w:tcPr>
            <w:tcW w:w="2176" w:type="dxa"/>
          </w:tcPr>
          <w:p w14:paraId="7F08431B" w14:textId="7D2A7331" w:rsidR="00133770" w:rsidRPr="00B70EEB" w:rsidRDefault="00133770" w:rsidP="00891D4F">
            <w:pPr>
              <w:rPr>
                <w:rFonts w:ascii="Calibri" w:hAnsi="Calibri"/>
                <w:color w:val="000000"/>
              </w:rPr>
            </w:pPr>
            <w:r w:rsidRPr="00B70EEB">
              <w:rPr>
                <w:rFonts w:ascii="Calibri" w:hAnsi="Calibri"/>
                <w:color w:val="000000"/>
              </w:rPr>
              <w:t>640,451</w:t>
            </w:r>
          </w:p>
        </w:tc>
        <w:tc>
          <w:tcPr>
            <w:tcW w:w="1886" w:type="dxa"/>
          </w:tcPr>
          <w:p w14:paraId="3F4E1B4E" w14:textId="2BF762EE" w:rsidR="00133770" w:rsidRPr="00B70EEB" w:rsidRDefault="00133770" w:rsidP="00891D4F">
            <w:pPr>
              <w:rPr>
                <w:rFonts w:ascii="Calibri" w:eastAsia="Times New Roman" w:hAnsi="Calibri" w:cs="Times New Roman"/>
                <w:bCs/>
                <w:color w:val="000000"/>
              </w:rPr>
            </w:pPr>
            <w:r w:rsidRPr="00B70EEB">
              <w:rPr>
                <w:rFonts w:ascii="Calibri" w:eastAsia="Times New Roman" w:hAnsi="Calibri" w:cs="Times New Roman"/>
                <w:bCs/>
                <w:color w:val="000000"/>
              </w:rPr>
              <w:t>3,228,330</w:t>
            </w:r>
          </w:p>
        </w:tc>
        <w:tc>
          <w:tcPr>
            <w:tcW w:w="1886" w:type="dxa"/>
          </w:tcPr>
          <w:p w14:paraId="7B036E79" w14:textId="0115E064" w:rsidR="00133770" w:rsidRPr="00B70EEB" w:rsidRDefault="00133770" w:rsidP="00891D4F">
            <w:pPr>
              <w:rPr>
                <w:rFonts w:ascii="Calibri" w:eastAsia="Times New Roman" w:hAnsi="Calibri" w:cs="Times New Roman"/>
                <w:b/>
                <w:bCs/>
                <w:color w:val="000000"/>
              </w:rPr>
            </w:pPr>
            <w:r w:rsidRPr="00B70EEB">
              <w:rPr>
                <w:rFonts w:ascii="Calibri" w:eastAsia="Times New Roman" w:hAnsi="Calibri" w:cs="Times New Roman"/>
                <w:b/>
                <w:bCs/>
                <w:color w:val="000000"/>
              </w:rPr>
              <w:t>20%</w:t>
            </w:r>
          </w:p>
        </w:tc>
      </w:tr>
      <w:tr w:rsidR="00133770" w:rsidRPr="00B70EEB" w14:paraId="524917CD" w14:textId="77777777" w:rsidTr="00133770">
        <w:trPr>
          <w:trHeight w:val="440"/>
        </w:trPr>
        <w:tc>
          <w:tcPr>
            <w:tcW w:w="2176" w:type="dxa"/>
          </w:tcPr>
          <w:p w14:paraId="024DB599" w14:textId="35B2E89D" w:rsidR="00133770" w:rsidRPr="00B70EEB" w:rsidRDefault="00133770" w:rsidP="00133770">
            <w:pPr>
              <w:rPr>
                <w:rFonts w:ascii="Calibri" w:eastAsia="Times New Roman" w:hAnsi="Calibri" w:cs="Times New Roman"/>
                <w:b/>
                <w:bCs/>
                <w:color w:val="000000"/>
              </w:rPr>
            </w:pPr>
            <w:r w:rsidRPr="00B70EEB">
              <w:rPr>
                <w:rFonts w:ascii="Calibri" w:eastAsia="Times New Roman" w:hAnsi="Calibri" w:cs="Times New Roman"/>
                <w:b/>
                <w:bCs/>
                <w:color w:val="000000"/>
              </w:rPr>
              <w:t>Timber Volume Sold (CCF)</w:t>
            </w:r>
          </w:p>
        </w:tc>
        <w:tc>
          <w:tcPr>
            <w:tcW w:w="2176" w:type="dxa"/>
          </w:tcPr>
          <w:p w14:paraId="74F5DCB5" w14:textId="3346FF9B" w:rsidR="00133770" w:rsidRPr="00B70EEB" w:rsidRDefault="00133770" w:rsidP="00133770">
            <w:pPr>
              <w:rPr>
                <w:rFonts w:ascii="Calibri" w:hAnsi="Calibri"/>
                <w:color w:val="000000"/>
              </w:rPr>
            </w:pPr>
            <w:r w:rsidRPr="00B70EEB">
              <w:rPr>
                <w:rFonts w:ascii="Calibri" w:eastAsia="Times New Roman" w:hAnsi="Calibri" w:cs="Times New Roman"/>
                <w:bCs/>
                <w:color w:val="000000"/>
              </w:rPr>
              <w:t>854,492</w:t>
            </w:r>
          </w:p>
        </w:tc>
        <w:tc>
          <w:tcPr>
            <w:tcW w:w="1886" w:type="dxa"/>
          </w:tcPr>
          <w:p w14:paraId="1BB49556" w14:textId="2CE3CD83" w:rsidR="00133770" w:rsidRPr="00B70EEB" w:rsidRDefault="00133770" w:rsidP="00133770">
            <w:pPr>
              <w:rPr>
                <w:rFonts w:ascii="Calibri" w:eastAsia="Times New Roman" w:hAnsi="Calibri" w:cs="Times New Roman"/>
                <w:bCs/>
                <w:color w:val="000000"/>
              </w:rPr>
            </w:pPr>
            <w:r w:rsidRPr="00B70EEB">
              <w:rPr>
                <w:rFonts w:ascii="Calibri" w:eastAsia="Times New Roman" w:hAnsi="Calibri" w:cs="Times New Roman"/>
                <w:bCs/>
                <w:color w:val="000000"/>
              </w:rPr>
              <w:t>5,515,561</w:t>
            </w:r>
          </w:p>
        </w:tc>
        <w:tc>
          <w:tcPr>
            <w:tcW w:w="1886" w:type="dxa"/>
          </w:tcPr>
          <w:p w14:paraId="1720F541" w14:textId="63FB9C5A" w:rsidR="00133770" w:rsidRPr="00B70EEB" w:rsidRDefault="00133770" w:rsidP="00133770">
            <w:pPr>
              <w:rPr>
                <w:rFonts w:ascii="Calibri" w:eastAsia="Times New Roman" w:hAnsi="Calibri" w:cs="Times New Roman"/>
                <w:b/>
                <w:bCs/>
                <w:color w:val="000000"/>
              </w:rPr>
            </w:pPr>
            <w:r w:rsidRPr="00B70EEB">
              <w:rPr>
                <w:rFonts w:ascii="Calibri" w:eastAsia="Times New Roman" w:hAnsi="Calibri" w:cs="Times New Roman"/>
                <w:b/>
                <w:bCs/>
                <w:color w:val="000000"/>
              </w:rPr>
              <w:t>15%</w:t>
            </w:r>
          </w:p>
        </w:tc>
      </w:tr>
      <w:tr w:rsidR="00133770" w:rsidRPr="00B70EEB" w14:paraId="23F42EFF" w14:textId="77777777" w:rsidTr="00133770">
        <w:trPr>
          <w:trHeight w:val="440"/>
        </w:trPr>
        <w:tc>
          <w:tcPr>
            <w:tcW w:w="2176" w:type="dxa"/>
          </w:tcPr>
          <w:p w14:paraId="789935FC" w14:textId="4DBF3DD2" w:rsidR="00133770" w:rsidRPr="00B70EEB" w:rsidRDefault="00133770" w:rsidP="00133770">
            <w:pPr>
              <w:rPr>
                <w:rFonts w:ascii="Calibri" w:eastAsia="Times New Roman" w:hAnsi="Calibri" w:cs="Times New Roman"/>
                <w:b/>
                <w:bCs/>
                <w:color w:val="000000"/>
              </w:rPr>
            </w:pPr>
            <w:r w:rsidRPr="00B70EEB">
              <w:rPr>
                <w:rFonts w:ascii="Calibri" w:eastAsia="Times New Roman" w:hAnsi="Calibri" w:cs="Times New Roman"/>
                <w:b/>
                <w:bCs/>
                <w:color w:val="000000"/>
              </w:rPr>
              <w:t>Terrestrial Habitat Enhanced (Acres)</w:t>
            </w:r>
          </w:p>
        </w:tc>
        <w:tc>
          <w:tcPr>
            <w:tcW w:w="2176" w:type="dxa"/>
          </w:tcPr>
          <w:p w14:paraId="29C5C55E" w14:textId="29D36D1C" w:rsidR="00133770" w:rsidRPr="00B70EEB" w:rsidRDefault="00133770" w:rsidP="00133770">
            <w:pPr>
              <w:rPr>
                <w:rFonts w:ascii="Calibri" w:hAnsi="Calibri"/>
                <w:color w:val="000000"/>
              </w:rPr>
            </w:pPr>
            <w:r w:rsidRPr="00B70EEB">
              <w:rPr>
                <w:rFonts w:ascii="Calibri" w:eastAsia="Times New Roman" w:hAnsi="Calibri" w:cs="Times New Roman"/>
                <w:bCs/>
                <w:color w:val="000000"/>
              </w:rPr>
              <w:t>461,434</w:t>
            </w:r>
          </w:p>
        </w:tc>
        <w:tc>
          <w:tcPr>
            <w:tcW w:w="1886" w:type="dxa"/>
          </w:tcPr>
          <w:p w14:paraId="00D4B93D" w14:textId="1F14F31F" w:rsidR="00133770" w:rsidRPr="00B70EEB" w:rsidRDefault="00133770" w:rsidP="00133770">
            <w:pPr>
              <w:rPr>
                <w:rFonts w:ascii="Calibri" w:eastAsia="Times New Roman" w:hAnsi="Calibri" w:cs="Times New Roman"/>
                <w:bCs/>
                <w:color w:val="000000"/>
              </w:rPr>
            </w:pPr>
            <w:r w:rsidRPr="00B70EEB">
              <w:rPr>
                <w:rFonts w:ascii="Calibri" w:eastAsia="Times New Roman" w:hAnsi="Calibri" w:cs="Times New Roman"/>
                <w:bCs/>
                <w:color w:val="000000"/>
              </w:rPr>
              <w:t>2,883,803</w:t>
            </w:r>
          </w:p>
        </w:tc>
        <w:tc>
          <w:tcPr>
            <w:tcW w:w="1886" w:type="dxa"/>
          </w:tcPr>
          <w:p w14:paraId="233161F8" w14:textId="1B7454AA" w:rsidR="00133770" w:rsidRPr="00B70EEB" w:rsidRDefault="00133770" w:rsidP="00133770">
            <w:pPr>
              <w:rPr>
                <w:rFonts w:ascii="Calibri" w:eastAsia="Times New Roman" w:hAnsi="Calibri" w:cs="Times New Roman"/>
                <w:b/>
                <w:bCs/>
                <w:color w:val="000000"/>
              </w:rPr>
            </w:pPr>
            <w:r w:rsidRPr="00B70EEB">
              <w:rPr>
                <w:rFonts w:ascii="Calibri" w:eastAsia="Times New Roman" w:hAnsi="Calibri" w:cs="Times New Roman"/>
                <w:b/>
                <w:bCs/>
                <w:color w:val="000000"/>
              </w:rPr>
              <w:t>16%</w:t>
            </w:r>
          </w:p>
        </w:tc>
      </w:tr>
      <w:tr w:rsidR="00133770" w:rsidRPr="00B70EEB" w14:paraId="5FE131AD" w14:textId="77777777" w:rsidTr="00133770">
        <w:trPr>
          <w:trHeight w:val="440"/>
        </w:trPr>
        <w:tc>
          <w:tcPr>
            <w:tcW w:w="2176" w:type="dxa"/>
          </w:tcPr>
          <w:p w14:paraId="5ABEE51A" w14:textId="3206E656" w:rsidR="00133770" w:rsidRPr="00B70EEB" w:rsidRDefault="00133770" w:rsidP="00133770">
            <w:pPr>
              <w:rPr>
                <w:rFonts w:ascii="Calibri" w:eastAsia="Times New Roman" w:hAnsi="Calibri" w:cs="Times New Roman"/>
                <w:b/>
                <w:bCs/>
                <w:color w:val="000000"/>
              </w:rPr>
            </w:pPr>
            <w:r w:rsidRPr="00B70EEB">
              <w:rPr>
                <w:rFonts w:ascii="Calibri" w:eastAsia="Times New Roman" w:hAnsi="Calibri" w:cs="Times New Roman"/>
                <w:b/>
                <w:bCs/>
                <w:color w:val="000000"/>
              </w:rPr>
              <w:t>Forest Vegetation Improved (Acres)</w:t>
            </w:r>
          </w:p>
        </w:tc>
        <w:tc>
          <w:tcPr>
            <w:tcW w:w="2176" w:type="dxa"/>
          </w:tcPr>
          <w:p w14:paraId="69BBBB3C" w14:textId="5B8C96C1" w:rsidR="00133770" w:rsidRPr="00B70EEB" w:rsidRDefault="00133770" w:rsidP="00133770">
            <w:pPr>
              <w:rPr>
                <w:rFonts w:ascii="Calibri" w:hAnsi="Calibri"/>
                <w:color w:val="000000"/>
              </w:rPr>
            </w:pPr>
            <w:r w:rsidRPr="00B70EEB">
              <w:rPr>
                <w:rFonts w:ascii="Calibri" w:eastAsia="Times New Roman" w:hAnsi="Calibri" w:cs="Times New Roman"/>
                <w:bCs/>
                <w:color w:val="000000"/>
              </w:rPr>
              <w:t>67,118</w:t>
            </w:r>
          </w:p>
        </w:tc>
        <w:tc>
          <w:tcPr>
            <w:tcW w:w="1886" w:type="dxa"/>
          </w:tcPr>
          <w:p w14:paraId="6BB80DF4" w14:textId="067D7936" w:rsidR="00133770" w:rsidRPr="00B70EEB" w:rsidRDefault="00133770" w:rsidP="00133770">
            <w:pPr>
              <w:rPr>
                <w:rFonts w:ascii="Calibri" w:eastAsia="Times New Roman" w:hAnsi="Calibri" w:cs="Times New Roman"/>
                <w:bCs/>
                <w:color w:val="000000"/>
              </w:rPr>
            </w:pPr>
            <w:r w:rsidRPr="00B70EEB">
              <w:rPr>
                <w:rFonts w:ascii="Calibri" w:eastAsia="Times New Roman" w:hAnsi="Calibri" w:cs="Times New Roman"/>
                <w:bCs/>
                <w:color w:val="000000"/>
              </w:rPr>
              <w:t>226,516</w:t>
            </w:r>
          </w:p>
        </w:tc>
        <w:tc>
          <w:tcPr>
            <w:tcW w:w="1886" w:type="dxa"/>
          </w:tcPr>
          <w:p w14:paraId="620ADB64" w14:textId="00B02134" w:rsidR="00133770" w:rsidRPr="00B70EEB" w:rsidRDefault="00133770" w:rsidP="00133770">
            <w:pPr>
              <w:rPr>
                <w:rFonts w:ascii="Calibri" w:eastAsia="Times New Roman" w:hAnsi="Calibri" w:cs="Times New Roman"/>
                <w:b/>
                <w:bCs/>
                <w:color w:val="000000"/>
              </w:rPr>
            </w:pPr>
            <w:r w:rsidRPr="00B70EEB">
              <w:rPr>
                <w:rFonts w:ascii="Calibri" w:eastAsia="Times New Roman" w:hAnsi="Calibri" w:cs="Times New Roman"/>
                <w:b/>
                <w:bCs/>
                <w:color w:val="000000"/>
              </w:rPr>
              <w:t>30%</w:t>
            </w:r>
          </w:p>
        </w:tc>
      </w:tr>
      <w:tr w:rsidR="00B70EEB" w:rsidRPr="00B70EEB" w14:paraId="60D43BE0" w14:textId="77777777" w:rsidTr="00133770">
        <w:trPr>
          <w:trHeight w:val="440"/>
        </w:trPr>
        <w:tc>
          <w:tcPr>
            <w:tcW w:w="2176" w:type="dxa"/>
          </w:tcPr>
          <w:p w14:paraId="7467F7FA" w14:textId="66D7462D" w:rsidR="00B70EEB" w:rsidRPr="00B70EEB" w:rsidRDefault="00B70EEB" w:rsidP="00133770">
            <w:pPr>
              <w:rPr>
                <w:rFonts w:ascii="Calibri" w:eastAsia="Times New Roman" w:hAnsi="Calibri" w:cs="Times New Roman"/>
                <w:b/>
                <w:bCs/>
                <w:color w:val="000000"/>
              </w:rPr>
            </w:pPr>
            <w:r w:rsidRPr="00B70EEB">
              <w:rPr>
                <w:rFonts w:ascii="Calibri" w:eastAsia="Times New Roman" w:hAnsi="Calibri" w:cs="Times New Roman"/>
                <w:b/>
                <w:bCs/>
                <w:color w:val="000000"/>
              </w:rPr>
              <w:t>Stream Habitat Improved (Miles)</w:t>
            </w:r>
          </w:p>
        </w:tc>
        <w:tc>
          <w:tcPr>
            <w:tcW w:w="2176" w:type="dxa"/>
          </w:tcPr>
          <w:p w14:paraId="53A1212A" w14:textId="2FB398E2" w:rsidR="00B70EEB" w:rsidRPr="00B70EEB" w:rsidRDefault="00B70EEB" w:rsidP="00133770">
            <w:pPr>
              <w:rPr>
                <w:rFonts w:ascii="Calibri" w:eastAsia="Times New Roman" w:hAnsi="Calibri" w:cs="Times New Roman"/>
                <w:bCs/>
                <w:color w:val="000000"/>
              </w:rPr>
            </w:pPr>
            <w:r>
              <w:rPr>
                <w:rFonts w:ascii="Calibri" w:eastAsia="Times New Roman" w:hAnsi="Calibri" w:cs="Times New Roman"/>
                <w:bCs/>
                <w:color w:val="000000"/>
              </w:rPr>
              <w:t>184</w:t>
            </w:r>
          </w:p>
        </w:tc>
        <w:tc>
          <w:tcPr>
            <w:tcW w:w="1886" w:type="dxa"/>
          </w:tcPr>
          <w:p w14:paraId="67821F19" w14:textId="499F9050" w:rsidR="00B70EEB" w:rsidRPr="00B70EEB" w:rsidRDefault="00B70EEB" w:rsidP="00133770">
            <w:pPr>
              <w:rPr>
                <w:rFonts w:ascii="Calibri" w:eastAsia="Times New Roman" w:hAnsi="Calibri" w:cs="Times New Roman"/>
                <w:bCs/>
                <w:color w:val="000000"/>
              </w:rPr>
            </w:pPr>
            <w:r w:rsidRPr="00B70EEB">
              <w:rPr>
                <w:rFonts w:ascii="Calibri" w:eastAsia="Times New Roman" w:hAnsi="Calibri" w:cs="Times New Roman"/>
                <w:bCs/>
                <w:color w:val="000000"/>
              </w:rPr>
              <w:t>3</w:t>
            </w:r>
            <w:r>
              <w:rPr>
                <w:rFonts w:ascii="Calibri" w:eastAsia="Times New Roman" w:hAnsi="Calibri" w:cs="Times New Roman"/>
                <w:bCs/>
                <w:color w:val="000000"/>
              </w:rPr>
              <w:t>,</w:t>
            </w:r>
            <w:r w:rsidRPr="00B70EEB">
              <w:rPr>
                <w:rFonts w:ascii="Calibri" w:eastAsia="Times New Roman" w:hAnsi="Calibri" w:cs="Times New Roman"/>
                <w:bCs/>
                <w:color w:val="000000"/>
              </w:rPr>
              <w:t>832</w:t>
            </w:r>
          </w:p>
        </w:tc>
        <w:tc>
          <w:tcPr>
            <w:tcW w:w="1886" w:type="dxa"/>
          </w:tcPr>
          <w:p w14:paraId="05EFEFEE" w14:textId="2EBC5BA7" w:rsidR="00B70EEB" w:rsidRPr="00B70EEB" w:rsidRDefault="00B70EEB" w:rsidP="00133770">
            <w:pPr>
              <w:rPr>
                <w:rFonts w:ascii="Calibri" w:eastAsia="Times New Roman" w:hAnsi="Calibri" w:cs="Times New Roman"/>
                <w:b/>
                <w:bCs/>
                <w:color w:val="000000"/>
              </w:rPr>
            </w:pPr>
            <w:r w:rsidRPr="00B70EEB">
              <w:rPr>
                <w:rFonts w:ascii="Calibri" w:eastAsia="Times New Roman" w:hAnsi="Calibri" w:cs="Times New Roman"/>
                <w:b/>
                <w:bCs/>
                <w:color w:val="000000"/>
              </w:rPr>
              <w:t>5%</w:t>
            </w:r>
          </w:p>
        </w:tc>
      </w:tr>
      <w:tr w:rsidR="00B70EEB" w14:paraId="532FAB9B" w14:textId="77777777" w:rsidTr="00B70EEB">
        <w:trPr>
          <w:trHeight w:val="440"/>
        </w:trPr>
        <w:tc>
          <w:tcPr>
            <w:tcW w:w="2176" w:type="dxa"/>
            <w:shd w:val="clear" w:color="auto" w:fill="auto"/>
          </w:tcPr>
          <w:p w14:paraId="4909E5FA" w14:textId="46C5D3F0" w:rsidR="00B70EEB" w:rsidRPr="00B70EEB" w:rsidRDefault="00B70EEB" w:rsidP="00B70EEB">
            <w:pPr>
              <w:rPr>
                <w:rFonts w:ascii="Calibri" w:eastAsia="Times New Roman" w:hAnsi="Calibri" w:cs="Times New Roman"/>
                <w:b/>
                <w:bCs/>
                <w:color w:val="000000"/>
              </w:rPr>
            </w:pPr>
            <w:r w:rsidRPr="00B70EEB">
              <w:rPr>
                <w:rFonts w:ascii="Calibri" w:eastAsia="Times New Roman" w:hAnsi="Calibri" w:cs="Times New Roman"/>
                <w:b/>
                <w:bCs/>
                <w:color w:val="000000"/>
              </w:rPr>
              <w:t>Trails Maintained to Standard (Miles)</w:t>
            </w: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88D5A" w14:textId="35CFDFAF" w:rsidR="00B70EEB" w:rsidRPr="00B70EEB" w:rsidRDefault="00B70EEB" w:rsidP="00B70EEB">
            <w:pPr>
              <w:rPr>
                <w:rFonts w:ascii="Calibri" w:eastAsia="Times New Roman" w:hAnsi="Calibri" w:cs="Times New Roman"/>
                <w:bCs/>
                <w:color w:val="000000"/>
              </w:rPr>
            </w:pPr>
            <w:r w:rsidRPr="00B70EEB">
              <w:rPr>
                <w:rFonts w:ascii="Calibri" w:eastAsia="Times New Roman" w:hAnsi="Calibri" w:cs="Times New Roman"/>
                <w:bCs/>
                <w:color w:val="000000"/>
              </w:rPr>
              <w:t>2,735</w:t>
            </w:r>
          </w:p>
        </w:tc>
        <w:tc>
          <w:tcPr>
            <w:tcW w:w="1886" w:type="dxa"/>
            <w:tcBorders>
              <w:top w:val="single" w:sz="4" w:space="0" w:color="000000"/>
              <w:left w:val="nil"/>
              <w:bottom w:val="single" w:sz="4" w:space="0" w:color="000000"/>
              <w:right w:val="nil"/>
            </w:tcBorders>
            <w:shd w:val="clear" w:color="auto" w:fill="auto"/>
            <w:vAlign w:val="center"/>
          </w:tcPr>
          <w:p w14:paraId="77E36DE3" w14:textId="02C513A5" w:rsidR="00B70EEB" w:rsidRPr="00B70EEB" w:rsidRDefault="00B70EEB" w:rsidP="00B70EEB">
            <w:pPr>
              <w:rPr>
                <w:rFonts w:ascii="Calibri" w:eastAsia="Times New Roman" w:hAnsi="Calibri" w:cs="Times New Roman"/>
                <w:bCs/>
                <w:color w:val="000000"/>
              </w:rPr>
            </w:pPr>
            <w:r w:rsidRPr="00B70EEB">
              <w:rPr>
                <w:rFonts w:ascii="Calibri" w:eastAsia="Times New Roman" w:hAnsi="Calibri" w:cs="Times New Roman"/>
                <w:bCs/>
                <w:color w:val="000000"/>
              </w:rPr>
              <w:t>56,459</w:t>
            </w:r>
          </w:p>
        </w:tc>
        <w:tc>
          <w:tcPr>
            <w:tcW w:w="1886" w:type="dxa"/>
            <w:shd w:val="clear" w:color="auto" w:fill="auto"/>
          </w:tcPr>
          <w:p w14:paraId="6AFBA682" w14:textId="3A040A76" w:rsidR="00B70EEB" w:rsidRPr="00B70EEB" w:rsidRDefault="00B70EEB" w:rsidP="00B70EEB">
            <w:pPr>
              <w:rPr>
                <w:rFonts w:ascii="Calibri" w:eastAsia="Times New Roman" w:hAnsi="Calibri" w:cs="Times New Roman"/>
                <w:b/>
                <w:bCs/>
                <w:color w:val="000000"/>
              </w:rPr>
            </w:pPr>
            <w:r w:rsidRPr="00B70EEB">
              <w:rPr>
                <w:rFonts w:ascii="Calibri" w:eastAsia="Times New Roman" w:hAnsi="Calibri" w:cs="Times New Roman"/>
                <w:b/>
                <w:bCs/>
                <w:color w:val="000000"/>
              </w:rPr>
              <w:t>5%</w:t>
            </w:r>
          </w:p>
        </w:tc>
      </w:tr>
    </w:tbl>
    <w:p w14:paraId="395BCC34" w14:textId="5220FA40" w:rsidR="001C7BB5" w:rsidRDefault="001C7BB5" w:rsidP="009D4847"/>
    <w:p w14:paraId="562D3D3E" w14:textId="77777777" w:rsidR="001C7BB5" w:rsidRDefault="001C7BB5">
      <w:r>
        <w:br w:type="page"/>
      </w:r>
    </w:p>
    <w:p w14:paraId="5F9AD66D" w14:textId="77777777" w:rsidR="009D4847" w:rsidRDefault="009D4847" w:rsidP="009D4847"/>
    <w:tbl>
      <w:tblPr>
        <w:tblW w:w="9270" w:type="dxa"/>
        <w:tblLook w:val="04A0" w:firstRow="1" w:lastRow="0" w:firstColumn="1" w:lastColumn="0" w:noHBand="0" w:noVBand="1"/>
      </w:tblPr>
      <w:tblGrid>
        <w:gridCol w:w="2500"/>
        <w:gridCol w:w="3440"/>
        <w:gridCol w:w="3330"/>
      </w:tblGrid>
      <w:tr w:rsidR="001C7BB5" w:rsidRPr="001C7BB5" w14:paraId="2BEBDD9A" w14:textId="77777777" w:rsidTr="001C7BB5">
        <w:trPr>
          <w:trHeight w:val="1815"/>
        </w:trPr>
        <w:tc>
          <w:tcPr>
            <w:tcW w:w="2500" w:type="dxa"/>
            <w:tcBorders>
              <w:top w:val="nil"/>
              <w:left w:val="nil"/>
              <w:bottom w:val="nil"/>
              <w:right w:val="nil"/>
            </w:tcBorders>
            <w:shd w:val="clear" w:color="auto" w:fill="auto"/>
            <w:noWrap/>
            <w:vAlign w:val="bottom"/>
            <w:hideMark/>
          </w:tcPr>
          <w:p w14:paraId="631D487A" w14:textId="77777777" w:rsidR="001C7BB5" w:rsidRPr="001C7BB5" w:rsidRDefault="001C7BB5" w:rsidP="001C7BB5">
            <w:pPr>
              <w:spacing w:after="0" w:line="240" w:lineRule="auto"/>
              <w:rPr>
                <w:rFonts w:ascii="Times New Roman" w:eastAsia="Times New Roman" w:hAnsi="Times New Roman" w:cs="Times New Roman"/>
                <w:sz w:val="24"/>
                <w:szCs w:val="24"/>
              </w:rPr>
            </w:pPr>
          </w:p>
        </w:tc>
        <w:tc>
          <w:tcPr>
            <w:tcW w:w="3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725F23" w14:textId="77777777" w:rsidR="001C7BB5" w:rsidRPr="001C7BB5" w:rsidRDefault="001C7BB5" w:rsidP="001C7BB5">
            <w:pPr>
              <w:spacing w:after="0" w:line="240" w:lineRule="auto"/>
              <w:rPr>
                <w:rFonts w:ascii="Calibri" w:eastAsia="Times New Roman" w:hAnsi="Calibri" w:cs="Times New Roman"/>
                <w:b/>
                <w:bCs/>
                <w:color w:val="000000"/>
              </w:rPr>
            </w:pPr>
            <w:r w:rsidRPr="001C7BB5">
              <w:rPr>
                <w:rFonts w:ascii="Calibri" w:eastAsia="Times New Roman" w:hAnsi="Calibri" w:cs="Times New Roman"/>
                <w:b/>
                <w:bCs/>
                <w:color w:val="000000"/>
              </w:rPr>
              <w:t>Total FS Investments on CFLRP for restoration-related work in FY2016</w:t>
            </w:r>
          </w:p>
        </w:tc>
        <w:tc>
          <w:tcPr>
            <w:tcW w:w="3330" w:type="dxa"/>
            <w:tcBorders>
              <w:top w:val="single" w:sz="8" w:space="0" w:color="auto"/>
              <w:left w:val="nil"/>
              <w:bottom w:val="single" w:sz="8" w:space="0" w:color="auto"/>
              <w:right w:val="single" w:sz="8" w:space="0" w:color="auto"/>
            </w:tcBorders>
            <w:shd w:val="clear" w:color="auto" w:fill="auto"/>
            <w:vAlign w:val="center"/>
            <w:hideMark/>
          </w:tcPr>
          <w:p w14:paraId="3FB8B45B" w14:textId="77777777" w:rsidR="001C7BB5" w:rsidRPr="001C7BB5" w:rsidRDefault="001C7BB5" w:rsidP="001C7BB5">
            <w:pPr>
              <w:spacing w:after="0" w:line="240" w:lineRule="auto"/>
              <w:rPr>
                <w:rFonts w:ascii="Calibri" w:eastAsia="Times New Roman" w:hAnsi="Calibri" w:cs="Times New Roman"/>
                <w:b/>
                <w:bCs/>
                <w:color w:val="000000"/>
              </w:rPr>
            </w:pPr>
            <w:r w:rsidRPr="001C7BB5">
              <w:rPr>
                <w:rFonts w:ascii="Calibri" w:eastAsia="Times New Roman" w:hAnsi="Calibri" w:cs="Times New Roman"/>
                <w:b/>
                <w:bCs/>
                <w:color w:val="000000"/>
              </w:rPr>
              <w:t xml:space="preserve">Total FS Investments Agency-wide for restoration-related work in FY2016 </w:t>
            </w:r>
          </w:p>
        </w:tc>
      </w:tr>
      <w:tr w:rsidR="001C7BB5" w:rsidRPr="001C7BB5" w14:paraId="5F7E703C" w14:textId="77777777" w:rsidTr="001C7BB5">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A12EEC" w14:textId="77777777" w:rsidR="001C7BB5" w:rsidRPr="001C7BB5" w:rsidRDefault="001C7BB5" w:rsidP="001C7BB5">
            <w:pPr>
              <w:spacing w:after="0" w:line="240" w:lineRule="auto"/>
              <w:rPr>
                <w:rFonts w:ascii="Calibri" w:eastAsia="Times New Roman" w:hAnsi="Calibri" w:cs="Times New Roman"/>
                <w:b/>
                <w:bCs/>
                <w:color w:val="000000"/>
              </w:rPr>
            </w:pPr>
            <w:r w:rsidRPr="001C7BB5">
              <w:rPr>
                <w:rFonts w:ascii="Calibri" w:eastAsia="Times New Roman" w:hAnsi="Calibri" w:cs="Times New Roman"/>
                <w:b/>
                <w:bCs/>
                <w:color w:val="000000"/>
              </w:rPr>
              <w:t>Dollar investment</w:t>
            </w:r>
          </w:p>
        </w:tc>
        <w:tc>
          <w:tcPr>
            <w:tcW w:w="3440" w:type="dxa"/>
            <w:tcBorders>
              <w:top w:val="nil"/>
              <w:left w:val="nil"/>
              <w:bottom w:val="nil"/>
              <w:right w:val="single" w:sz="8" w:space="0" w:color="auto"/>
            </w:tcBorders>
            <w:shd w:val="clear" w:color="auto" w:fill="auto"/>
            <w:vAlign w:val="center"/>
            <w:hideMark/>
          </w:tcPr>
          <w:p w14:paraId="4C91BC45" w14:textId="77777777" w:rsidR="001C7BB5" w:rsidRPr="001C7BB5" w:rsidRDefault="001C7BB5" w:rsidP="001C7BB5">
            <w:pPr>
              <w:spacing w:after="0" w:line="240" w:lineRule="auto"/>
              <w:jc w:val="right"/>
              <w:rPr>
                <w:rFonts w:ascii="Calibri" w:eastAsia="Times New Roman" w:hAnsi="Calibri" w:cs="Times New Roman"/>
                <w:b/>
                <w:bCs/>
                <w:color w:val="000000"/>
              </w:rPr>
            </w:pPr>
            <w:r w:rsidRPr="001C7BB5">
              <w:rPr>
                <w:rFonts w:ascii="Calibri" w:eastAsia="Times New Roman" w:hAnsi="Calibri" w:cs="Times New Roman"/>
                <w:b/>
                <w:bCs/>
                <w:color w:val="000000"/>
              </w:rPr>
              <w:t xml:space="preserve">$90,782,952 </w:t>
            </w:r>
          </w:p>
        </w:tc>
        <w:tc>
          <w:tcPr>
            <w:tcW w:w="3330" w:type="dxa"/>
            <w:tcBorders>
              <w:top w:val="nil"/>
              <w:left w:val="nil"/>
              <w:bottom w:val="nil"/>
              <w:right w:val="single" w:sz="8" w:space="0" w:color="auto"/>
            </w:tcBorders>
            <w:shd w:val="clear" w:color="auto" w:fill="auto"/>
            <w:vAlign w:val="center"/>
            <w:hideMark/>
          </w:tcPr>
          <w:p w14:paraId="0DF0872D" w14:textId="77777777" w:rsidR="001C7BB5" w:rsidRPr="001C7BB5" w:rsidRDefault="001C7BB5" w:rsidP="001C7BB5">
            <w:pPr>
              <w:spacing w:after="0" w:line="240" w:lineRule="auto"/>
              <w:jc w:val="right"/>
              <w:rPr>
                <w:rFonts w:ascii="Calibri" w:eastAsia="Times New Roman" w:hAnsi="Calibri" w:cs="Times New Roman"/>
                <w:b/>
                <w:bCs/>
                <w:color w:val="000000"/>
              </w:rPr>
            </w:pPr>
            <w:r w:rsidRPr="001C7BB5">
              <w:rPr>
                <w:rFonts w:ascii="Calibri" w:eastAsia="Times New Roman" w:hAnsi="Calibri" w:cs="Times New Roman"/>
                <w:b/>
                <w:bCs/>
                <w:color w:val="000000"/>
              </w:rPr>
              <w:t xml:space="preserve">$1,233,306,542 </w:t>
            </w:r>
          </w:p>
        </w:tc>
      </w:tr>
      <w:tr w:rsidR="001C7BB5" w:rsidRPr="001C7BB5" w14:paraId="6D23C5F7" w14:textId="77777777" w:rsidTr="001C7BB5">
        <w:trPr>
          <w:trHeight w:val="315"/>
        </w:trPr>
        <w:tc>
          <w:tcPr>
            <w:tcW w:w="2500" w:type="dxa"/>
            <w:tcBorders>
              <w:top w:val="nil"/>
              <w:left w:val="single" w:sz="8" w:space="0" w:color="auto"/>
              <w:bottom w:val="nil"/>
              <w:right w:val="single" w:sz="8" w:space="0" w:color="auto"/>
            </w:tcBorders>
            <w:shd w:val="clear" w:color="auto" w:fill="auto"/>
            <w:vAlign w:val="center"/>
            <w:hideMark/>
          </w:tcPr>
          <w:p w14:paraId="10A4920E" w14:textId="77777777" w:rsidR="001C7BB5" w:rsidRPr="001C7BB5" w:rsidRDefault="001C7BB5" w:rsidP="001C7BB5">
            <w:pPr>
              <w:spacing w:after="0" w:line="240" w:lineRule="auto"/>
              <w:rPr>
                <w:rFonts w:ascii="Calibri" w:eastAsia="Times New Roman" w:hAnsi="Calibri" w:cs="Times New Roman"/>
                <w:b/>
                <w:bCs/>
                <w:color w:val="000000"/>
              </w:rPr>
            </w:pPr>
            <w:r w:rsidRPr="001C7BB5">
              <w:rPr>
                <w:rFonts w:ascii="Calibri" w:eastAsia="Times New Roman" w:hAnsi="Calibri" w:cs="Times New Roman"/>
                <w:b/>
                <w:bCs/>
                <w:color w:val="000000"/>
              </w:rPr>
              <w:t>Dollar investment/acre</w:t>
            </w:r>
          </w:p>
        </w:tc>
        <w:tc>
          <w:tcPr>
            <w:tcW w:w="3440" w:type="dxa"/>
            <w:tcBorders>
              <w:top w:val="single" w:sz="8" w:space="0" w:color="auto"/>
              <w:left w:val="nil"/>
              <w:bottom w:val="nil"/>
              <w:right w:val="single" w:sz="8" w:space="0" w:color="auto"/>
            </w:tcBorders>
            <w:shd w:val="clear" w:color="auto" w:fill="auto"/>
            <w:vAlign w:val="center"/>
            <w:hideMark/>
          </w:tcPr>
          <w:p w14:paraId="1483D7EA" w14:textId="77777777" w:rsidR="001C7BB5" w:rsidRPr="001C7BB5" w:rsidRDefault="001C7BB5" w:rsidP="001C7BB5">
            <w:pPr>
              <w:spacing w:after="0" w:line="240" w:lineRule="auto"/>
              <w:jc w:val="right"/>
              <w:rPr>
                <w:rFonts w:ascii="Calibri" w:eastAsia="Times New Roman" w:hAnsi="Calibri" w:cs="Times New Roman"/>
                <w:b/>
                <w:bCs/>
                <w:color w:val="000000"/>
              </w:rPr>
            </w:pPr>
            <w:r w:rsidRPr="001C7BB5">
              <w:rPr>
                <w:rFonts w:ascii="Calibri" w:eastAsia="Times New Roman" w:hAnsi="Calibri" w:cs="Times New Roman"/>
                <w:b/>
                <w:bCs/>
                <w:color w:val="000000"/>
              </w:rPr>
              <w:t xml:space="preserve">8.05 </w:t>
            </w:r>
          </w:p>
        </w:tc>
        <w:tc>
          <w:tcPr>
            <w:tcW w:w="3330" w:type="dxa"/>
            <w:tcBorders>
              <w:top w:val="single" w:sz="8" w:space="0" w:color="auto"/>
              <w:left w:val="nil"/>
              <w:bottom w:val="nil"/>
              <w:right w:val="single" w:sz="8" w:space="0" w:color="auto"/>
            </w:tcBorders>
            <w:shd w:val="clear" w:color="auto" w:fill="auto"/>
            <w:vAlign w:val="center"/>
            <w:hideMark/>
          </w:tcPr>
          <w:p w14:paraId="20FEE1A9" w14:textId="77777777" w:rsidR="001C7BB5" w:rsidRPr="001C7BB5" w:rsidRDefault="001C7BB5" w:rsidP="001C7BB5">
            <w:pPr>
              <w:spacing w:after="0" w:line="240" w:lineRule="auto"/>
              <w:jc w:val="right"/>
              <w:rPr>
                <w:rFonts w:ascii="Calibri" w:eastAsia="Times New Roman" w:hAnsi="Calibri" w:cs="Times New Roman"/>
                <w:b/>
                <w:bCs/>
                <w:color w:val="000000"/>
              </w:rPr>
            </w:pPr>
            <w:r w:rsidRPr="001C7BB5">
              <w:rPr>
                <w:rFonts w:ascii="Calibri" w:eastAsia="Times New Roman" w:hAnsi="Calibri" w:cs="Times New Roman"/>
                <w:b/>
                <w:bCs/>
                <w:color w:val="000000"/>
              </w:rPr>
              <w:t xml:space="preserve">12.43 </w:t>
            </w:r>
          </w:p>
        </w:tc>
      </w:tr>
      <w:tr w:rsidR="001C7BB5" w:rsidRPr="001C7BB5" w14:paraId="2A11CC60" w14:textId="77777777" w:rsidTr="001C7BB5">
        <w:trPr>
          <w:trHeight w:val="12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6E9011" w14:textId="77777777" w:rsidR="001C7BB5" w:rsidRPr="001C7BB5" w:rsidRDefault="001C7BB5" w:rsidP="001C7BB5">
            <w:pPr>
              <w:spacing w:after="0" w:line="240" w:lineRule="auto"/>
              <w:rPr>
                <w:rFonts w:ascii="Calibri" w:eastAsia="Times New Roman" w:hAnsi="Calibri" w:cs="Times New Roman"/>
                <w:b/>
                <w:bCs/>
                <w:color w:val="000000"/>
              </w:rPr>
            </w:pPr>
            <w:r w:rsidRPr="001C7BB5">
              <w:rPr>
                <w:rFonts w:ascii="Calibri" w:eastAsia="Times New Roman" w:hAnsi="Calibri" w:cs="Times New Roman"/>
                <w:b/>
                <w:bCs/>
                <w:color w:val="000000"/>
              </w:rPr>
              <w:t>2016 FS investments in CFLR as % of 2016 agency total restoration investment</w:t>
            </w:r>
          </w:p>
        </w:tc>
        <w:tc>
          <w:tcPr>
            <w:tcW w:w="6770" w:type="dxa"/>
            <w:gridSpan w:val="2"/>
            <w:tcBorders>
              <w:top w:val="single" w:sz="8" w:space="0" w:color="auto"/>
              <w:left w:val="nil"/>
              <w:bottom w:val="single" w:sz="8" w:space="0" w:color="auto"/>
              <w:right w:val="single" w:sz="8" w:space="0" w:color="000000"/>
            </w:tcBorders>
            <w:shd w:val="clear" w:color="auto" w:fill="auto"/>
            <w:vAlign w:val="center"/>
            <w:hideMark/>
          </w:tcPr>
          <w:p w14:paraId="7C998F0C" w14:textId="77777777" w:rsidR="001C7BB5" w:rsidRPr="001C7BB5" w:rsidRDefault="001C7BB5" w:rsidP="001C7BB5">
            <w:pPr>
              <w:spacing w:after="0" w:line="240" w:lineRule="auto"/>
              <w:jc w:val="center"/>
              <w:rPr>
                <w:rFonts w:ascii="Calibri" w:eastAsia="Times New Roman" w:hAnsi="Calibri" w:cs="Times New Roman"/>
                <w:b/>
                <w:bCs/>
                <w:color w:val="000000"/>
              </w:rPr>
            </w:pPr>
            <w:r w:rsidRPr="001C7BB5">
              <w:rPr>
                <w:rFonts w:ascii="Calibri" w:eastAsia="Times New Roman" w:hAnsi="Calibri" w:cs="Times New Roman"/>
                <w:b/>
                <w:bCs/>
                <w:color w:val="000000"/>
              </w:rPr>
              <w:t>7%</w:t>
            </w:r>
          </w:p>
        </w:tc>
      </w:tr>
    </w:tbl>
    <w:p w14:paraId="0C8F3BE2" w14:textId="77777777" w:rsidR="001C7BB5" w:rsidRDefault="001C7BB5" w:rsidP="009D4847"/>
    <w:p w14:paraId="19F3D59A" w14:textId="68150990" w:rsidR="00BC7976" w:rsidRDefault="00BC7976">
      <w:pPr>
        <w:rPr>
          <w:rFonts w:eastAsia="Times New Roman" w:cs="Times New Roman"/>
          <w:i/>
        </w:rPr>
      </w:pPr>
      <w:r w:rsidRPr="00211389">
        <w:rPr>
          <w:b/>
          <w:i/>
        </w:rPr>
        <w:t xml:space="preserve">Total </w:t>
      </w:r>
      <w:r w:rsidR="00EC6880" w:rsidRPr="00211389">
        <w:rPr>
          <w:b/>
          <w:i/>
        </w:rPr>
        <w:t>FS Investment methodology</w:t>
      </w:r>
      <w:r w:rsidRPr="00211389">
        <w:rPr>
          <w:b/>
          <w:i/>
        </w:rPr>
        <w:t>:</w:t>
      </w:r>
      <w:r>
        <w:rPr>
          <w:i/>
        </w:rPr>
        <w:t xml:space="preserve"> </w:t>
      </w:r>
      <w:r w:rsidR="001C7BB5" w:rsidRPr="001C7BB5">
        <w:rPr>
          <w:i/>
        </w:rPr>
        <w:t>We used a conservative approach to estimate the total FS Agency-wide investments in restoration-related work that is comparable to implementation and monitoring conducted through CFLRP. We pulled together the list of BLI’s that are consistent with the intent of the CFLR Act and the CFLR project description and landscape restoration strategy. We then took FY2016 enacted levels of these BLI’s, as reflected in the Budget Overview, to determine a conservative total amount spent on relevant restoration work across all NFS lands. BLI list: BDBD, CMLG, CMRD, CMTL, CWFS, CWKV, CWK2, NFTM, NFVW, NFWF, PEPE, RBRB, RTRT, SSSS, SPFH, SPS4, SSCC, WFHF.  For CMRD we estimated that 50% of CMRD funds were spent on road maintenance and improvement equivalent equivalent to the roads work  happening on CFLR projects.  NFRR funds were not included because those funds are reprsented in the originating BLIs before the transfer to NFRR is made. The average FS cost pool rate was applied to the total to derive an estimate of total dollars spent on the ground.</w:t>
      </w:r>
    </w:p>
    <w:tbl>
      <w:tblPr>
        <w:tblW w:w="4320" w:type="dxa"/>
        <w:tblInd w:w="-10" w:type="dxa"/>
        <w:tblLook w:val="04A0" w:firstRow="1" w:lastRow="0" w:firstColumn="1" w:lastColumn="0" w:noHBand="0" w:noVBand="1"/>
      </w:tblPr>
      <w:tblGrid>
        <w:gridCol w:w="2500"/>
        <w:gridCol w:w="1820"/>
      </w:tblGrid>
      <w:tr w:rsidR="006755C8" w14:paraId="4BDA9249" w14:textId="77777777" w:rsidTr="006755C8">
        <w:trPr>
          <w:trHeight w:val="615"/>
          <w:tblHeader/>
        </w:trPr>
        <w:tc>
          <w:tcPr>
            <w:tcW w:w="2500" w:type="dxa"/>
            <w:tcBorders>
              <w:top w:val="single" w:sz="8" w:space="0" w:color="auto"/>
              <w:left w:val="single" w:sz="8" w:space="0" w:color="auto"/>
              <w:bottom w:val="single" w:sz="8" w:space="0" w:color="auto"/>
              <w:right w:val="single" w:sz="8" w:space="0" w:color="auto"/>
            </w:tcBorders>
            <w:shd w:val="clear" w:color="auto" w:fill="auto"/>
            <w:noWrap/>
            <w:hideMark/>
          </w:tcPr>
          <w:p w14:paraId="52624AB2" w14:textId="1992C38C" w:rsidR="006755C8" w:rsidRPr="006755C8" w:rsidRDefault="006755C8">
            <w:pPr>
              <w:rPr>
                <w:rFonts w:ascii="Calibri" w:hAnsi="Calibri"/>
                <w:b/>
                <w:color w:val="000000"/>
              </w:rPr>
            </w:pPr>
            <w:r w:rsidRPr="006755C8">
              <w:rPr>
                <w:rFonts w:ascii="Calibri" w:hAnsi="Calibri"/>
                <w:b/>
                <w:color w:val="000000"/>
              </w:rPr>
              <w:t> BLI</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1FD86655" w14:textId="77777777" w:rsidR="006755C8" w:rsidRDefault="006755C8">
            <w:pPr>
              <w:rPr>
                <w:rFonts w:ascii="Calibri" w:hAnsi="Calibri"/>
                <w:b/>
                <w:bCs/>
                <w:color w:val="000000"/>
                <w:u w:val="single"/>
              </w:rPr>
            </w:pPr>
            <w:r>
              <w:rPr>
                <w:rFonts w:ascii="Calibri" w:hAnsi="Calibri"/>
                <w:b/>
                <w:bCs/>
                <w:color w:val="000000"/>
                <w:u w:val="single"/>
              </w:rPr>
              <w:t>FY16 National Appropriation</w:t>
            </w:r>
          </w:p>
        </w:tc>
      </w:tr>
      <w:tr w:rsidR="006755C8" w14:paraId="5A752150" w14:textId="77777777" w:rsidTr="006755C8">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1B2AD855" w14:textId="77777777" w:rsidR="006755C8" w:rsidRDefault="006755C8">
            <w:pPr>
              <w:rPr>
                <w:rFonts w:ascii="Calibri" w:hAnsi="Calibri"/>
                <w:color w:val="000000"/>
              </w:rPr>
            </w:pPr>
            <w:r>
              <w:rPr>
                <w:rFonts w:ascii="Calibri" w:hAnsi="Calibri"/>
                <w:color w:val="000000"/>
              </w:rPr>
              <w:t>BDBD</w:t>
            </w:r>
          </w:p>
        </w:tc>
        <w:tc>
          <w:tcPr>
            <w:tcW w:w="1820" w:type="dxa"/>
            <w:tcBorders>
              <w:top w:val="nil"/>
              <w:left w:val="nil"/>
              <w:bottom w:val="single" w:sz="8" w:space="0" w:color="auto"/>
              <w:right w:val="single" w:sz="8" w:space="0" w:color="auto"/>
            </w:tcBorders>
            <w:shd w:val="clear" w:color="auto" w:fill="auto"/>
            <w:noWrap/>
            <w:vAlign w:val="center"/>
            <w:hideMark/>
          </w:tcPr>
          <w:p w14:paraId="55B9F83D" w14:textId="77777777" w:rsidR="006755C8" w:rsidRDefault="006755C8">
            <w:pPr>
              <w:jc w:val="right"/>
              <w:rPr>
                <w:rFonts w:ascii="Calibri" w:hAnsi="Calibri"/>
                <w:color w:val="000000"/>
              </w:rPr>
            </w:pPr>
            <w:r>
              <w:rPr>
                <w:rFonts w:ascii="Calibri" w:hAnsi="Calibri"/>
                <w:color w:val="000000"/>
              </w:rPr>
              <w:t>11,801,000</w:t>
            </w:r>
          </w:p>
        </w:tc>
      </w:tr>
      <w:tr w:rsidR="006755C8" w14:paraId="27A9F838" w14:textId="77777777" w:rsidTr="006755C8">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5A8BDC24" w14:textId="77777777" w:rsidR="006755C8" w:rsidRDefault="006755C8">
            <w:pPr>
              <w:rPr>
                <w:rFonts w:ascii="Calibri" w:hAnsi="Calibri"/>
                <w:color w:val="000000"/>
              </w:rPr>
            </w:pPr>
            <w:r>
              <w:rPr>
                <w:rFonts w:ascii="Calibri" w:hAnsi="Calibri"/>
                <w:color w:val="000000"/>
              </w:rPr>
              <w:t>CMLG</w:t>
            </w:r>
          </w:p>
        </w:tc>
        <w:tc>
          <w:tcPr>
            <w:tcW w:w="1820" w:type="dxa"/>
            <w:tcBorders>
              <w:top w:val="nil"/>
              <w:left w:val="nil"/>
              <w:bottom w:val="single" w:sz="8" w:space="0" w:color="auto"/>
              <w:right w:val="single" w:sz="8" w:space="0" w:color="auto"/>
            </w:tcBorders>
            <w:shd w:val="clear" w:color="auto" w:fill="auto"/>
            <w:noWrap/>
            <w:vAlign w:val="center"/>
            <w:hideMark/>
          </w:tcPr>
          <w:p w14:paraId="4289485D" w14:textId="77777777" w:rsidR="006755C8" w:rsidRDefault="006755C8">
            <w:pPr>
              <w:jc w:val="right"/>
              <w:rPr>
                <w:rFonts w:ascii="Calibri" w:hAnsi="Calibri"/>
                <w:color w:val="000000"/>
              </w:rPr>
            </w:pPr>
            <w:r>
              <w:rPr>
                <w:rFonts w:ascii="Calibri" w:hAnsi="Calibri"/>
                <w:color w:val="000000"/>
              </w:rPr>
              <w:t>40,000,000</w:t>
            </w:r>
          </w:p>
        </w:tc>
      </w:tr>
      <w:tr w:rsidR="006755C8" w14:paraId="2A5F8592" w14:textId="77777777" w:rsidTr="006755C8">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3EA44D6B" w14:textId="77777777" w:rsidR="006755C8" w:rsidRDefault="006755C8">
            <w:pPr>
              <w:rPr>
                <w:rFonts w:ascii="Calibri" w:hAnsi="Calibri"/>
                <w:color w:val="000000"/>
              </w:rPr>
            </w:pPr>
            <w:r>
              <w:rPr>
                <w:rFonts w:ascii="Calibri" w:hAnsi="Calibri"/>
                <w:color w:val="000000"/>
              </w:rPr>
              <w:t>CMRD*</w:t>
            </w:r>
          </w:p>
        </w:tc>
        <w:tc>
          <w:tcPr>
            <w:tcW w:w="1820" w:type="dxa"/>
            <w:tcBorders>
              <w:top w:val="nil"/>
              <w:left w:val="nil"/>
              <w:bottom w:val="single" w:sz="8" w:space="0" w:color="auto"/>
              <w:right w:val="single" w:sz="8" w:space="0" w:color="auto"/>
            </w:tcBorders>
            <w:shd w:val="clear" w:color="auto" w:fill="auto"/>
            <w:noWrap/>
            <w:vAlign w:val="center"/>
            <w:hideMark/>
          </w:tcPr>
          <w:p w14:paraId="403AC9E1" w14:textId="77777777" w:rsidR="006755C8" w:rsidRDefault="006755C8">
            <w:pPr>
              <w:jc w:val="right"/>
              <w:rPr>
                <w:rFonts w:ascii="Calibri" w:hAnsi="Calibri"/>
                <w:color w:val="000000"/>
              </w:rPr>
            </w:pPr>
            <w:r>
              <w:rPr>
                <w:rFonts w:ascii="Calibri" w:hAnsi="Calibri"/>
                <w:color w:val="000000"/>
              </w:rPr>
              <w:t>86,047,000</w:t>
            </w:r>
          </w:p>
        </w:tc>
      </w:tr>
      <w:tr w:rsidR="006755C8" w14:paraId="76FFAE76" w14:textId="77777777" w:rsidTr="006755C8">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2D93FACC" w14:textId="77777777" w:rsidR="006755C8" w:rsidRDefault="006755C8">
            <w:pPr>
              <w:rPr>
                <w:rFonts w:ascii="Calibri" w:hAnsi="Calibri"/>
                <w:color w:val="000000"/>
              </w:rPr>
            </w:pPr>
            <w:r>
              <w:rPr>
                <w:rFonts w:ascii="Calibri" w:hAnsi="Calibri"/>
                <w:color w:val="000000"/>
              </w:rPr>
              <w:t>CMTL</w:t>
            </w:r>
          </w:p>
        </w:tc>
        <w:tc>
          <w:tcPr>
            <w:tcW w:w="1820" w:type="dxa"/>
            <w:tcBorders>
              <w:top w:val="nil"/>
              <w:left w:val="nil"/>
              <w:bottom w:val="single" w:sz="8" w:space="0" w:color="auto"/>
              <w:right w:val="single" w:sz="8" w:space="0" w:color="auto"/>
            </w:tcBorders>
            <w:shd w:val="clear" w:color="auto" w:fill="auto"/>
            <w:noWrap/>
            <w:vAlign w:val="center"/>
            <w:hideMark/>
          </w:tcPr>
          <w:p w14:paraId="210925E6" w14:textId="77777777" w:rsidR="006755C8" w:rsidRDefault="006755C8">
            <w:pPr>
              <w:jc w:val="right"/>
              <w:rPr>
                <w:rFonts w:ascii="Calibri" w:hAnsi="Calibri"/>
                <w:color w:val="000000"/>
              </w:rPr>
            </w:pPr>
            <w:r>
              <w:rPr>
                <w:rFonts w:ascii="Calibri" w:hAnsi="Calibri"/>
                <w:color w:val="000000"/>
              </w:rPr>
              <w:t>77,530,000</w:t>
            </w:r>
          </w:p>
        </w:tc>
      </w:tr>
      <w:tr w:rsidR="006755C8" w14:paraId="00FE99A4" w14:textId="77777777" w:rsidTr="006755C8">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49D4D0C3" w14:textId="77777777" w:rsidR="006755C8" w:rsidRDefault="006755C8">
            <w:pPr>
              <w:rPr>
                <w:rFonts w:ascii="Calibri" w:hAnsi="Calibri"/>
                <w:color w:val="000000"/>
              </w:rPr>
            </w:pPr>
            <w:r>
              <w:rPr>
                <w:rFonts w:ascii="Calibri" w:hAnsi="Calibri"/>
                <w:color w:val="000000"/>
              </w:rPr>
              <w:lastRenderedPageBreak/>
              <w:t>CWFS</w:t>
            </w:r>
          </w:p>
        </w:tc>
        <w:tc>
          <w:tcPr>
            <w:tcW w:w="1820" w:type="dxa"/>
            <w:tcBorders>
              <w:top w:val="nil"/>
              <w:left w:val="nil"/>
              <w:bottom w:val="single" w:sz="8" w:space="0" w:color="auto"/>
              <w:right w:val="single" w:sz="8" w:space="0" w:color="auto"/>
            </w:tcBorders>
            <w:shd w:val="clear" w:color="auto" w:fill="auto"/>
            <w:noWrap/>
            <w:vAlign w:val="center"/>
            <w:hideMark/>
          </w:tcPr>
          <w:p w14:paraId="0459B843" w14:textId="77777777" w:rsidR="006755C8" w:rsidRDefault="006755C8">
            <w:pPr>
              <w:jc w:val="right"/>
              <w:rPr>
                <w:rFonts w:ascii="Calibri" w:hAnsi="Calibri"/>
                <w:color w:val="000000"/>
              </w:rPr>
            </w:pPr>
            <w:r>
              <w:rPr>
                <w:rFonts w:ascii="Calibri" w:hAnsi="Calibri"/>
                <w:color w:val="000000"/>
              </w:rPr>
              <w:t>43,744,000</w:t>
            </w:r>
          </w:p>
        </w:tc>
      </w:tr>
      <w:tr w:rsidR="006755C8" w14:paraId="2FA8767D" w14:textId="77777777" w:rsidTr="006755C8">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4258DE01" w14:textId="77777777" w:rsidR="006755C8" w:rsidRDefault="006755C8">
            <w:pPr>
              <w:rPr>
                <w:rFonts w:ascii="Calibri" w:hAnsi="Calibri"/>
                <w:color w:val="000000"/>
              </w:rPr>
            </w:pPr>
            <w:r>
              <w:rPr>
                <w:rFonts w:ascii="Calibri" w:hAnsi="Calibri"/>
                <w:color w:val="000000"/>
              </w:rPr>
              <w:t>CWKV</w:t>
            </w:r>
          </w:p>
        </w:tc>
        <w:tc>
          <w:tcPr>
            <w:tcW w:w="1820" w:type="dxa"/>
            <w:tcBorders>
              <w:top w:val="nil"/>
              <w:left w:val="nil"/>
              <w:bottom w:val="single" w:sz="8" w:space="0" w:color="auto"/>
              <w:right w:val="single" w:sz="8" w:space="0" w:color="auto"/>
            </w:tcBorders>
            <w:shd w:val="clear" w:color="auto" w:fill="auto"/>
            <w:noWrap/>
            <w:vAlign w:val="center"/>
            <w:hideMark/>
          </w:tcPr>
          <w:p w14:paraId="66499365" w14:textId="77777777" w:rsidR="006755C8" w:rsidRDefault="006755C8">
            <w:pPr>
              <w:jc w:val="right"/>
              <w:rPr>
                <w:rFonts w:ascii="Calibri" w:hAnsi="Calibri"/>
                <w:color w:val="000000"/>
              </w:rPr>
            </w:pPr>
            <w:r>
              <w:rPr>
                <w:rFonts w:ascii="Calibri" w:hAnsi="Calibri"/>
                <w:color w:val="000000"/>
              </w:rPr>
              <w:t>58,154,000</w:t>
            </w:r>
            <w:r>
              <w:rPr>
                <w:rFonts w:ascii="Calibri" w:hAnsi="Calibri"/>
                <w:color w:val="000000"/>
                <w:sz w:val="16"/>
                <w:szCs w:val="16"/>
              </w:rPr>
              <w:t> </w:t>
            </w:r>
          </w:p>
        </w:tc>
      </w:tr>
      <w:tr w:rsidR="006755C8" w14:paraId="7DBCB0B4" w14:textId="77777777" w:rsidTr="006755C8">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6CD6695B" w14:textId="77777777" w:rsidR="006755C8" w:rsidRDefault="006755C8">
            <w:pPr>
              <w:rPr>
                <w:rFonts w:ascii="Calibri" w:hAnsi="Calibri"/>
                <w:color w:val="000000"/>
              </w:rPr>
            </w:pPr>
            <w:r>
              <w:rPr>
                <w:rFonts w:ascii="Calibri" w:hAnsi="Calibri"/>
                <w:color w:val="000000"/>
              </w:rPr>
              <w:t>NFTM</w:t>
            </w:r>
          </w:p>
        </w:tc>
        <w:tc>
          <w:tcPr>
            <w:tcW w:w="1820" w:type="dxa"/>
            <w:tcBorders>
              <w:top w:val="nil"/>
              <w:left w:val="nil"/>
              <w:bottom w:val="single" w:sz="8" w:space="0" w:color="auto"/>
              <w:right w:val="single" w:sz="8" w:space="0" w:color="auto"/>
            </w:tcBorders>
            <w:shd w:val="clear" w:color="auto" w:fill="auto"/>
            <w:noWrap/>
            <w:vAlign w:val="center"/>
            <w:hideMark/>
          </w:tcPr>
          <w:p w14:paraId="7894C0FD" w14:textId="77777777" w:rsidR="006755C8" w:rsidRDefault="006755C8">
            <w:pPr>
              <w:jc w:val="right"/>
              <w:rPr>
                <w:rFonts w:ascii="Calibri" w:hAnsi="Calibri"/>
                <w:color w:val="000000"/>
              </w:rPr>
            </w:pPr>
            <w:r>
              <w:rPr>
                <w:rFonts w:ascii="Calibri" w:hAnsi="Calibri"/>
                <w:color w:val="000000"/>
              </w:rPr>
              <w:t>359,805,000</w:t>
            </w:r>
          </w:p>
        </w:tc>
      </w:tr>
      <w:tr w:rsidR="006755C8" w14:paraId="522F11C5" w14:textId="77777777" w:rsidTr="006755C8">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4AD3E0E7" w14:textId="77777777" w:rsidR="006755C8" w:rsidRDefault="006755C8">
            <w:pPr>
              <w:rPr>
                <w:rFonts w:ascii="Calibri" w:hAnsi="Calibri"/>
                <w:color w:val="000000"/>
              </w:rPr>
            </w:pPr>
            <w:r>
              <w:rPr>
                <w:rFonts w:ascii="Calibri" w:hAnsi="Calibri"/>
                <w:color w:val="000000"/>
              </w:rPr>
              <w:t>NFVW</w:t>
            </w:r>
          </w:p>
        </w:tc>
        <w:tc>
          <w:tcPr>
            <w:tcW w:w="1820" w:type="dxa"/>
            <w:tcBorders>
              <w:top w:val="nil"/>
              <w:left w:val="nil"/>
              <w:bottom w:val="single" w:sz="8" w:space="0" w:color="auto"/>
              <w:right w:val="single" w:sz="8" w:space="0" w:color="auto"/>
            </w:tcBorders>
            <w:shd w:val="clear" w:color="auto" w:fill="auto"/>
            <w:noWrap/>
            <w:vAlign w:val="center"/>
            <w:hideMark/>
          </w:tcPr>
          <w:p w14:paraId="3D67CCF8" w14:textId="77777777" w:rsidR="006755C8" w:rsidRDefault="006755C8">
            <w:pPr>
              <w:jc w:val="right"/>
              <w:rPr>
                <w:rFonts w:ascii="Calibri" w:hAnsi="Calibri"/>
                <w:color w:val="000000"/>
              </w:rPr>
            </w:pPr>
            <w:r>
              <w:rPr>
                <w:rFonts w:ascii="Calibri" w:hAnsi="Calibri"/>
                <w:color w:val="000000"/>
              </w:rPr>
              <w:t>184,716,000</w:t>
            </w:r>
          </w:p>
        </w:tc>
      </w:tr>
      <w:tr w:rsidR="006755C8" w14:paraId="58B15CF2" w14:textId="77777777" w:rsidTr="006755C8">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72C99DF0" w14:textId="77777777" w:rsidR="006755C8" w:rsidRDefault="006755C8">
            <w:pPr>
              <w:rPr>
                <w:rFonts w:ascii="Calibri" w:hAnsi="Calibri"/>
                <w:color w:val="000000"/>
              </w:rPr>
            </w:pPr>
            <w:r>
              <w:rPr>
                <w:rFonts w:ascii="Calibri" w:hAnsi="Calibri"/>
                <w:color w:val="000000"/>
              </w:rPr>
              <w:t>NFWF</w:t>
            </w:r>
          </w:p>
        </w:tc>
        <w:tc>
          <w:tcPr>
            <w:tcW w:w="1820" w:type="dxa"/>
            <w:tcBorders>
              <w:top w:val="nil"/>
              <w:left w:val="nil"/>
              <w:bottom w:val="single" w:sz="8" w:space="0" w:color="auto"/>
              <w:right w:val="single" w:sz="8" w:space="0" w:color="auto"/>
            </w:tcBorders>
            <w:shd w:val="clear" w:color="auto" w:fill="auto"/>
            <w:noWrap/>
            <w:vAlign w:val="center"/>
            <w:hideMark/>
          </w:tcPr>
          <w:p w14:paraId="3BBCE531" w14:textId="77777777" w:rsidR="006755C8" w:rsidRDefault="006755C8">
            <w:pPr>
              <w:jc w:val="right"/>
              <w:rPr>
                <w:rFonts w:ascii="Calibri" w:hAnsi="Calibri"/>
                <w:color w:val="000000"/>
              </w:rPr>
            </w:pPr>
            <w:r>
              <w:rPr>
                <w:rFonts w:ascii="Calibri" w:hAnsi="Calibri"/>
                <w:color w:val="000000"/>
              </w:rPr>
              <w:t>140,466,000</w:t>
            </w:r>
          </w:p>
        </w:tc>
      </w:tr>
      <w:tr w:rsidR="006755C8" w14:paraId="29387965" w14:textId="77777777" w:rsidTr="006755C8">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27478915" w14:textId="77777777" w:rsidR="006755C8" w:rsidRDefault="006755C8">
            <w:pPr>
              <w:rPr>
                <w:rFonts w:ascii="Calibri" w:hAnsi="Calibri"/>
                <w:color w:val="000000"/>
              </w:rPr>
            </w:pPr>
            <w:r>
              <w:rPr>
                <w:rFonts w:ascii="Calibri" w:hAnsi="Calibri"/>
                <w:color w:val="000000"/>
              </w:rPr>
              <w:t>PEPE</w:t>
            </w:r>
          </w:p>
        </w:tc>
        <w:tc>
          <w:tcPr>
            <w:tcW w:w="1820" w:type="dxa"/>
            <w:tcBorders>
              <w:top w:val="nil"/>
              <w:left w:val="nil"/>
              <w:bottom w:val="single" w:sz="8" w:space="0" w:color="auto"/>
              <w:right w:val="single" w:sz="8" w:space="0" w:color="auto"/>
            </w:tcBorders>
            <w:shd w:val="clear" w:color="auto" w:fill="auto"/>
            <w:noWrap/>
            <w:vAlign w:val="center"/>
            <w:hideMark/>
          </w:tcPr>
          <w:p w14:paraId="7E62A3F2" w14:textId="77777777" w:rsidR="006755C8" w:rsidRDefault="006755C8">
            <w:pPr>
              <w:jc w:val="right"/>
              <w:rPr>
                <w:rFonts w:ascii="Calibri" w:hAnsi="Calibri"/>
                <w:color w:val="000000"/>
              </w:rPr>
            </w:pPr>
            <w:r>
              <w:rPr>
                <w:rFonts w:ascii="Calibri" w:hAnsi="Calibri"/>
                <w:color w:val="000000"/>
              </w:rPr>
              <w:t>532,000</w:t>
            </w:r>
          </w:p>
        </w:tc>
      </w:tr>
      <w:tr w:rsidR="006755C8" w14:paraId="5A55DEAC" w14:textId="77777777" w:rsidTr="006755C8">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7695E28B" w14:textId="77777777" w:rsidR="006755C8" w:rsidRDefault="006755C8">
            <w:pPr>
              <w:rPr>
                <w:rFonts w:ascii="Calibri" w:hAnsi="Calibri"/>
                <w:color w:val="000000"/>
              </w:rPr>
            </w:pPr>
            <w:r>
              <w:rPr>
                <w:rFonts w:ascii="Calibri" w:hAnsi="Calibri"/>
                <w:color w:val="000000"/>
              </w:rPr>
              <w:t>RBRB</w:t>
            </w:r>
          </w:p>
        </w:tc>
        <w:tc>
          <w:tcPr>
            <w:tcW w:w="1820" w:type="dxa"/>
            <w:tcBorders>
              <w:top w:val="nil"/>
              <w:left w:val="nil"/>
              <w:bottom w:val="single" w:sz="8" w:space="0" w:color="auto"/>
              <w:right w:val="single" w:sz="8" w:space="0" w:color="auto"/>
            </w:tcBorders>
            <w:shd w:val="clear" w:color="auto" w:fill="auto"/>
            <w:noWrap/>
            <w:vAlign w:val="center"/>
            <w:hideMark/>
          </w:tcPr>
          <w:p w14:paraId="6F20D9F1" w14:textId="77777777" w:rsidR="006755C8" w:rsidRDefault="006755C8">
            <w:pPr>
              <w:jc w:val="right"/>
              <w:rPr>
                <w:rFonts w:ascii="Calibri" w:hAnsi="Calibri"/>
                <w:color w:val="000000"/>
              </w:rPr>
            </w:pPr>
            <w:r>
              <w:rPr>
                <w:rFonts w:ascii="Calibri" w:hAnsi="Calibri"/>
                <w:color w:val="000000"/>
              </w:rPr>
              <w:t>2,320,000</w:t>
            </w:r>
          </w:p>
        </w:tc>
      </w:tr>
      <w:tr w:rsidR="006755C8" w14:paraId="5AF734EB" w14:textId="77777777" w:rsidTr="006755C8">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2B4C4A85" w14:textId="77777777" w:rsidR="006755C8" w:rsidRDefault="006755C8">
            <w:pPr>
              <w:rPr>
                <w:rFonts w:ascii="Calibri" w:hAnsi="Calibri"/>
                <w:color w:val="000000"/>
              </w:rPr>
            </w:pPr>
            <w:r>
              <w:rPr>
                <w:rFonts w:ascii="Calibri" w:hAnsi="Calibri"/>
                <w:color w:val="000000"/>
              </w:rPr>
              <w:t>RTRT</w:t>
            </w:r>
          </w:p>
        </w:tc>
        <w:tc>
          <w:tcPr>
            <w:tcW w:w="1820" w:type="dxa"/>
            <w:tcBorders>
              <w:top w:val="nil"/>
              <w:left w:val="nil"/>
              <w:bottom w:val="single" w:sz="8" w:space="0" w:color="auto"/>
              <w:right w:val="single" w:sz="8" w:space="0" w:color="auto"/>
            </w:tcBorders>
            <w:shd w:val="clear" w:color="auto" w:fill="auto"/>
            <w:noWrap/>
            <w:vAlign w:val="center"/>
            <w:hideMark/>
          </w:tcPr>
          <w:p w14:paraId="28D3A895" w14:textId="77777777" w:rsidR="006755C8" w:rsidRDefault="006755C8">
            <w:pPr>
              <w:jc w:val="right"/>
              <w:rPr>
                <w:rFonts w:ascii="Calibri" w:hAnsi="Calibri"/>
                <w:color w:val="000000"/>
              </w:rPr>
            </w:pPr>
            <w:r>
              <w:rPr>
                <w:rFonts w:ascii="Calibri" w:hAnsi="Calibri"/>
                <w:color w:val="000000"/>
              </w:rPr>
              <w:t>31,769,000</w:t>
            </w:r>
          </w:p>
        </w:tc>
      </w:tr>
      <w:tr w:rsidR="006755C8" w14:paraId="2C66A69B" w14:textId="77777777" w:rsidTr="006755C8">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58B5FE93" w14:textId="77777777" w:rsidR="006755C8" w:rsidRDefault="006755C8">
            <w:pPr>
              <w:rPr>
                <w:rFonts w:ascii="Calibri" w:hAnsi="Calibri"/>
                <w:color w:val="000000"/>
              </w:rPr>
            </w:pPr>
            <w:r>
              <w:rPr>
                <w:rFonts w:ascii="Calibri" w:hAnsi="Calibri"/>
                <w:color w:val="000000"/>
              </w:rPr>
              <w:t>SPFH</w:t>
            </w:r>
          </w:p>
        </w:tc>
        <w:tc>
          <w:tcPr>
            <w:tcW w:w="1820" w:type="dxa"/>
            <w:tcBorders>
              <w:top w:val="nil"/>
              <w:left w:val="nil"/>
              <w:bottom w:val="single" w:sz="8" w:space="0" w:color="auto"/>
              <w:right w:val="single" w:sz="8" w:space="0" w:color="auto"/>
            </w:tcBorders>
            <w:shd w:val="clear" w:color="auto" w:fill="auto"/>
            <w:noWrap/>
            <w:vAlign w:val="center"/>
            <w:hideMark/>
          </w:tcPr>
          <w:p w14:paraId="58F43A1F" w14:textId="77777777" w:rsidR="006755C8" w:rsidRDefault="006755C8">
            <w:pPr>
              <w:jc w:val="right"/>
              <w:rPr>
                <w:rFonts w:ascii="Calibri" w:hAnsi="Calibri"/>
                <w:color w:val="000000"/>
              </w:rPr>
            </w:pPr>
            <w:r>
              <w:rPr>
                <w:rFonts w:ascii="Calibri" w:hAnsi="Calibri"/>
                <w:color w:val="000000"/>
              </w:rPr>
              <w:t>58,922,000</w:t>
            </w:r>
          </w:p>
        </w:tc>
      </w:tr>
      <w:tr w:rsidR="006755C8" w14:paraId="58864B4D" w14:textId="77777777" w:rsidTr="006755C8">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79125EFF" w14:textId="77777777" w:rsidR="006755C8" w:rsidRDefault="006755C8">
            <w:pPr>
              <w:rPr>
                <w:rFonts w:ascii="Calibri" w:hAnsi="Calibri"/>
                <w:color w:val="000000"/>
              </w:rPr>
            </w:pPr>
            <w:r>
              <w:rPr>
                <w:rFonts w:ascii="Calibri" w:hAnsi="Calibri"/>
                <w:color w:val="000000"/>
              </w:rPr>
              <w:t>SPS4</w:t>
            </w:r>
          </w:p>
        </w:tc>
        <w:tc>
          <w:tcPr>
            <w:tcW w:w="1820" w:type="dxa"/>
            <w:tcBorders>
              <w:top w:val="nil"/>
              <w:left w:val="nil"/>
              <w:bottom w:val="single" w:sz="8" w:space="0" w:color="auto"/>
              <w:right w:val="single" w:sz="8" w:space="0" w:color="auto"/>
            </w:tcBorders>
            <w:shd w:val="clear" w:color="auto" w:fill="auto"/>
            <w:noWrap/>
            <w:vAlign w:val="center"/>
            <w:hideMark/>
          </w:tcPr>
          <w:p w14:paraId="50D362E8" w14:textId="77777777" w:rsidR="006755C8" w:rsidRDefault="006755C8">
            <w:pPr>
              <w:jc w:val="right"/>
              <w:rPr>
                <w:rFonts w:ascii="Calibri" w:hAnsi="Calibri"/>
                <w:color w:val="000000"/>
              </w:rPr>
            </w:pPr>
            <w:r>
              <w:rPr>
                <w:rFonts w:ascii="Calibri" w:hAnsi="Calibri"/>
                <w:color w:val="000000"/>
              </w:rPr>
              <w:t>78,000,000</w:t>
            </w:r>
          </w:p>
        </w:tc>
      </w:tr>
      <w:tr w:rsidR="006755C8" w14:paraId="6E81C01C" w14:textId="77777777" w:rsidTr="006755C8">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3303ADD4" w14:textId="77777777" w:rsidR="006755C8" w:rsidRDefault="006755C8">
            <w:pPr>
              <w:rPr>
                <w:rFonts w:ascii="Calibri" w:hAnsi="Calibri"/>
                <w:color w:val="000000"/>
              </w:rPr>
            </w:pPr>
            <w:r>
              <w:rPr>
                <w:rFonts w:ascii="Calibri" w:hAnsi="Calibri"/>
                <w:color w:val="000000"/>
              </w:rPr>
              <w:t>SSCC</w:t>
            </w:r>
          </w:p>
        </w:tc>
        <w:tc>
          <w:tcPr>
            <w:tcW w:w="1820" w:type="dxa"/>
            <w:tcBorders>
              <w:top w:val="nil"/>
              <w:left w:val="nil"/>
              <w:bottom w:val="single" w:sz="8" w:space="0" w:color="auto"/>
              <w:right w:val="single" w:sz="8" w:space="0" w:color="auto"/>
            </w:tcBorders>
            <w:shd w:val="clear" w:color="auto" w:fill="auto"/>
            <w:noWrap/>
            <w:vAlign w:val="center"/>
            <w:hideMark/>
          </w:tcPr>
          <w:p w14:paraId="2F30643A" w14:textId="77777777" w:rsidR="006755C8" w:rsidRDefault="006755C8">
            <w:pPr>
              <w:jc w:val="right"/>
              <w:rPr>
                <w:rFonts w:ascii="Calibri" w:hAnsi="Calibri"/>
                <w:color w:val="000000"/>
              </w:rPr>
            </w:pPr>
            <w:r>
              <w:rPr>
                <w:rFonts w:ascii="Calibri" w:hAnsi="Calibri"/>
                <w:color w:val="000000"/>
              </w:rPr>
              <w:t>12,511,000</w:t>
            </w:r>
          </w:p>
        </w:tc>
      </w:tr>
      <w:tr w:rsidR="006755C8" w14:paraId="4F65BAB0" w14:textId="77777777" w:rsidTr="006755C8">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02B3F779" w14:textId="77777777" w:rsidR="006755C8" w:rsidRDefault="006755C8">
            <w:pPr>
              <w:rPr>
                <w:rFonts w:ascii="Calibri" w:hAnsi="Calibri"/>
                <w:color w:val="000000"/>
              </w:rPr>
            </w:pPr>
            <w:r>
              <w:rPr>
                <w:rFonts w:ascii="Calibri" w:hAnsi="Calibri"/>
                <w:color w:val="000000"/>
              </w:rPr>
              <w:t>SSSS</w:t>
            </w:r>
          </w:p>
        </w:tc>
        <w:tc>
          <w:tcPr>
            <w:tcW w:w="1820" w:type="dxa"/>
            <w:tcBorders>
              <w:top w:val="nil"/>
              <w:left w:val="nil"/>
              <w:bottom w:val="single" w:sz="8" w:space="0" w:color="auto"/>
              <w:right w:val="single" w:sz="8" w:space="0" w:color="auto"/>
            </w:tcBorders>
            <w:shd w:val="clear" w:color="auto" w:fill="auto"/>
            <w:noWrap/>
            <w:vAlign w:val="center"/>
            <w:hideMark/>
          </w:tcPr>
          <w:p w14:paraId="4D2995D4" w14:textId="77777777" w:rsidR="006755C8" w:rsidRDefault="006755C8">
            <w:pPr>
              <w:jc w:val="right"/>
              <w:rPr>
                <w:rFonts w:ascii="Calibri" w:hAnsi="Calibri"/>
                <w:color w:val="000000"/>
              </w:rPr>
            </w:pPr>
            <w:r>
              <w:rPr>
                <w:rFonts w:ascii="Calibri" w:hAnsi="Calibri"/>
                <w:color w:val="000000"/>
              </w:rPr>
              <w:t>26,994,000</w:t>
            </w:r>
          </w:p>
        </w:tc>
      </w:tr>
      <w:tr w:rsidR="006755C8" w14:paraId="216D7153" w14:textId="77777777" w:rsidTr="006755C8">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0CB7C629" w14:textId="77777777" w:rsidR="006755C8" w:rsidRDefault="006755C8">
            <w:pPr>
              <w:rPr>
                <w:rFonts w:ascii="Calibri" w:hAnsi="Calibri"/>
                <w:color w:val="000000"/>
              </w:rPr>
            </w:pPr>
            <w:r>
              <w:rPr>
                <w:rFonts w:ascii="Calibri" w:hAnsi="Calibri"/>
                <w:color w:val="000000"/>
              </w:rPr>
              <w:t>WFHF</w:t>
            </w:r>
          </w:p>
        </w:tc>
        <w:tc>
          <w:tcPr>
            <w:tcW w:w="1820" w:type="dxa"/>
            <w:tcBorders>
              <w:top w:val="nil"/>
              <w:left w:val="nil"/>
              <w:bottom w:val="single" w:sz="8" w:space="0" w:color="auto"/>
              <w:right w:val="single" w:sz="8" w:space="0" w:color="auto"/>
            </w:tcBorders>
            <w:shd w:val="clear" w:color="auto" w:fill="auto"/>
            <w:noWrap/>
            <w:vAlign w:val="center"/>
            <w:hideMark/>
          </w:tcPr>
          <w:p w14:paraId="0139CCAB" w14:textId="77777777" w:rsidR="006755C8" w:rsidRDefault="006755C8">
            <w:pPr>
              <w:jc w:val="right"/>
              <w:rPr>
                <w:rFonts w:ascii="Calibri" w:hAnsi="Calibri"/>
                <w:color w:val="000000"/>
              </w:rPr>
            </w:pPr>
            <w:r>
              <w:rPr>
                <w:rFonts w:ascii="Calibri" w:hAnsi="Calibri"/>
                <w:color w:val="000000"/>
              </w:rPr>
              <w:t>375,000,000</w:t>
            </w:r>
          </w:p>
        </w:tc>
      </w:tr>
      <w:tr w:rsidR="006755C8" w14:paraId="712F626F" w14:textId="77777777" w:rsidTr="006755C8">
        <w:trPr>
          <w:trHeight w:val="315"/>
        </w:trPr>
        <w:tc>
          <w:tcPr>
            <w:tcW w:w="2500" w:type="dxa"/>
            <w:tcBorders>
              <w:top w:val="nil"/>
              <w:left w:val="single" w:sz="8" w:space="0" w:color="auto"/>
              <w:bottom w:val="single" w:sz="8" w:space="0" w:color="auto"/>
              <w:right w:val="single" w:sz="8" w:space="0" w:color="auto"/>
            </w:tcBorders>
            <w:shd w:val="clear" w:color="auto" w:fill="auto"/>
            <w:noWrap/>
            <w:hideMark/>
          </w:tcPr>
          <w:p w14:paraId="7EA12F47" w14:textId="77777777" w:rsidR="006755C8" w:rsidRDefault="006755C8">
            <w:pPr>
              <w:rPr>
                <w:rFonts w:ascii="Calibri" w:hAnsi="Calibri"/>
                <w:b/>
                <w:bCs/>
                <w:color w:val="000000"/>
              </w:rPr>
            </w:pPr>
            <w:r>
              <w:rPr>
                <w:rFonts w:ascii="Calibri" w:hAnsi="Calibri"/>
                <w:b/>
                <w:bCs/>
                <w:color w:val="000000"/>
              </w:rPr>
              <w:t xml:space="preserve">Total  </w:t>
            </w:r>
          </w:p>
        </w:tc>
        <w:tc>
          <w:tcPr>
            <w:tcW w:w="1820" w:type="dxa"/>
            <w:tcBorders>
              <w:top w:val="nil"/>
              <w:left w:val="nil"/>
              <w:bottom w:val="single" w:sz="8" w:space="0" w:color="auto"/>
              <w:right w:val="single" w:sz="8" w:space="0" w:color="auto"/>
            </w:tcBorders>
            <w:shd w:val="clear" w:color="auto" w:fill="auto"/>
            <w:noWrap/>
            <w:vAlign w:val="center"/>
            <w:hideMark/>
          </w:tcPr>
          <w:p w14:paraId="089FAFFE" w14:textId="77777777" w:rsidR="006755C8" w:rsidRDefault="006755C8">
            <w:pPr>
              <w:jc w:val="right"/>
              <w:rPr>
                <w:rFonts w:ascii="Calibri" w:hAnsi="Calibri"/>
                <w:b/>
                <w:bCs/>
                <w:color w:val="000000"/>
                <w:u w:val="single"/>
              </w:rPr>
            </w:pPr>
            <w:r>
              <w:rPr>
                <w:rFonts w:ascii="Calibri" w:hAnsi="Calibri"/>
                <w:b/>
                <w:bCs/>
                <w:color w:val="000000"/>
                <w:u w:val="single"/>
              </w:rPr>
              <w:t>1,530,157,000</w:t>
            </w:r>
          </w:p>
        </w:tc>
      </w:tr>
      <w:tr w:rsidR="006755C8" w14:paraId="0AA68CBA" w14:textId="77777777" w:rsidTr="006755C8">
        <w:trPr>
          <w:trHeight w:val="315"/>
        </w:trPr>
        <w:tc>
          <w:tcPr>
            <w:tcW w:w="2500" w:type="dxa"/>
            <w:tcBorders>
              <w:top w:val="nil"/>
              <w:left w:val="single" w:sz="8" w:space="0" w:color="auto"/>
              <w:bottom w:val="single" w:sz="8" w:space="0" w:color="auto"/>
              <w:right w:val="single" w:sz="8" w:space="0" w:color="auto"/>
            </w:tcBorders>
            <w:shd w:val="clear" w:color="000000" w:fill="D9D9D9"/>
            <w:noWrap/>
            <w:hideMark/>
          </w:tcPr>
          <w:p w14:paraId="41E0413F" w14:textId="77777777" w:rsidR="006755C8" w:rsidRDefault="006755C8">
            <w:pPr>
              <w:rPr>
                <w:rFonts w:ascii="Calibri" w:hAnsi="Calibri"/>
                <w:b/>
                <w:bCs/>
                <w:color w:val="000000"/>
              </w:rPr>
            </w:pPr>
            <w:r>
              <w:rPr>
                <w:rFonts w:ascii="Calibri" w:hAnsi="Calibri"/>
                <w:b/>
                <w:bCs/>
                <w:color w:val="000000"/>
              </w:rPr>
              <w:t>Adjusted Total**</w:t>
            </w:r>
          </w:p>
        </w:tc>
        <w:tc>
          <w:tcPr>
            <w:tcW w:w="1820" w:type="dxa"/>
            <w:tcBorders>
              <w:top w:val="nil"/>
              <w:left w:val="nil"/>
              <w:bottom w:val="single" w:sz="8" w:space="0" w:color="auto"/>
              <w:right w:val="single" w:sz="8" w:space="0" w:color="auto"/>
            </w:tcBorders>
            <w:shd w:val="clear" w:color="000000" w:fill="D9D9D9"/>
            <w:noWrap/>
            <w:vAlign w:val="center"/>
            <w:hideMark/>
          </w:tcPr>
          <w:p w14:paraId="5333F0B7" w14:textId="77777777" w:rsidR="006755C8" w:rsidRDefault="006755C8">
            <w:pPr>
              <w:jc w:val="right"/>
              <w:rPr>
                <w:rFonts w:ascii="Calibri" w:hAnsi="Calibri"/>
                <w:b/>
                <w:bCs/>
                <w:color w:val="000000"/>
                <w:u w:val="single"/>
              </w:rPr>
            </w:pPr>
            <w:r>
              <w:rPr>
                <w:rFonts w:ascii="Calibri" w:hAnsi="Calibri"/>
                <w:b/>
                <w:bCs/>
                <w:color w:val="000000"/>
                <w:u w:val="single"/>
              </w:rPr>
              <w:t>1,233,306,542</w:t>
            </w:r>
          </w:p>
        </w:tc>
      </w:tr>
    </w:tbl>
    <w:p w14:paraId="64B99D10" w14:textId="77777777" w:rsidR="006755C8" w:rsidRDefault="006755C8" w:rsidP="006755C8">
      <w:pPr>
        <w:spacing w:after="0" w:line="240" w:lineRule="auto"/>
        <w:rPr>
          <w:rFonts w:eastAsia="Times New Roman" w:cs="Times New Roman"/>
          <w:i/>
        </w:rPr>
      </w:pPr>
    </w:p>
    <w:p w14:paraId="6CF6147A" w14:textId="2F8EC151" w:rsidR="00B70EEB" w:rsidRDefault="006755C8" w:rsidP="006755C8">
      <w:pPr>
        <w:spacing w:after="0" w:line="240" w:lineRule="auto"/>
        <w:rPr>
          <w:rFonts w:eastAsia="Times New Roman" w:cs="Times New Roman"/>
          <w:i/>
        </w:rPr>
      </w:pPr>
      <w:r>
        <w:rPr>
          <w:rFonts w:eastAsia="Times New Roman" w:cs="Times New Roman"/>
          <w:i/>
        </w:rPr>
        <w:t>*Estimated</w:t>
      </w:r>
      <w:r w:rsidRPr="006755C8">
        <w:rPr>
          <w:rFonts w:eastAsia="Times New Roman" w:cs="Times New Roman"/>
          <w:i/>
        </w:rPr>
        <w:t xml:space="preserve"> that 50% of C</w:t>
      </w:r>
      <w:r>
        <w:rPr>
          <w:rFonts w:eastAsia="Times New Roman" w:cs="Times New Roman"/>
          <w:i/>
        </w:rPr>
        <w:t>MRD funding is used on restorati</w:t>
      </w:r>
      <w:r w:rsidRPr="006755C8">
        <w:rPr>
          <w:rFonts w:eastAsia="Times New Roman" w:cs="Times New Roman"/>
          <w:i/>
        </w:rPr>
        <w:t>on related work.</w:t>
      </w:r>
    </w:p>
    <w:p w14:paraId="129B0C08" w14:textId="43225867" w:rsidR="006755C8" w:rsidRDefault="006755C8" w:rsidP="006755C8">
      <w:pPr>
        <w:spacing w:after="0" w:line="240" w:lineRule="auto"/>
        <w:rPr>
          <w:rFonts w:eastAsia="Times New Roman" w:cs="Times New Roman"/>
          <w:i/>
        </w:rPr>
      </w:pPr>
      <w:r w:rsidRPr="006755C8">
        <w:rPr>
          <w:rFonts w:eastAsia="Times New Roman" w:cs="Times New Roman"/>
          <w:i/>
        </w:rPr>
        <w:t>**Reduced by total FY16 agency cost pool rate of 19.4%</w:t>
      </w:r>
    </w:p>
    <w:p w14:paraId="6F0AB658" w14:textId="77777777" w:rsidR="006755C8" w:rsidRDefault="006755C8">
      <w:pPr>
        <w:rPr>
          <w:rFonts w:eastAsia="Times New Roman" w:cs="Times New Roman"/>
          <w:i/>
        </w:rPr>
      </w:pPr>
    </w:p>
    <w:p w14:paraId="70267E8B" w14:textId="01BD2503" w:rsidR="00BC7976" w:rsidRPr="00EC6880" w:rsidRDefault="00BC7976">
      <w:pPr>
        <w:rPr>
          <w:i/>
        </w:rPr>
      </w:pPr>
      <w:r>
        <w:rPr>
          <w:rFonts w:eastAsia="Times New Roman" w:cs="Times New Roman"/>
          <w:i/>
        </w:rPr>
        <w:t xml:space="preserve">CFLRP projects report all expenditures by BLI in their annual reports, available on the USFS external website at: </w:t>
      </w:r>
      <w:hyperlink r:id="rId10" w:history="1">
        <w:r w:rsidRPr="00590699">
          <w:rPr>
            <w:rStyle w:val="Hyperlink"/>
            <w:rFonts w:eastAsia="Times New Roman" w:cs="Times New Roman"/>
            <w:i/>
          </w:rPr>
          <w:t>https://www.fs.fed.us/restoration/CFLRP/results.shtml</w:t>
        </w:r>
      </w:hyperlink>
      <w:r>
        <w:rPr>
          <w:rFonts w:eastAsia="Times New Roman" w:cs="Times New Roman"/>
          <w:i/>
        </w:rPr>
        <w:t xml:space="preserve"> </w:t>
      </w:r>
    </w:p>
    <w:sectPr w:rsidR="00BC7976" w:rsidRPr="00EC6880" w:rsidSect="004E66CA">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EAEDD" w14:textId="77777777" w:rsidR="00063856" w:rsidRDefault="00063856" w:rsidP="007C572D">
      <w:pPr>
        <w:spacing w:after="0" w:line="240" w:lineRule="auto"/>
      </w:pPr>
      <w:r>
        <w:separator/>
      </w:r>
    </w:p>
  </w:endnote>
  <w:endnote w:type="continuationSeparator" w:id="0">
    <w:p w14:paraId="1242DF24" w14:textId="77777777" w:rsidR="00063856" w:rsidRDefault="00063856" w:rsidP="007C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696868"/>
      <w:docPartObj>
        <w:docPartGallery w:val="Page Numbers (Bottom of Page)"/>
        <w:docPartUnique/>
      </w:docPartObj>
    </w:sdtPr>
    <w:sdtEndPr>
      <w:rPr>
        <w:noProof/>
      </w:rPr>
    </w:sdtEndPr>
    <w:sdtContent>
      <w:p w14:paraId="57425790" w14:textId="79ACE9AA" w:rsidR="00480024" w:rsidRDefault="00480024">
        <w:pPr>
          <w:pStyle w:val="Footer"/>
          <w:jc w:val="right"/>
        </w:pPr>
        <w:r>
          <w:fldChar w:fldCharType="begin"/>
        </w:r>
        <w:r>
          <w:instrText xml:space="preserve"> PAGE   \* MERGEFORMAT </w:instrText>
        </w:r>
        <w:r>
          <w:fldChar w:fldCharType="separate"/>
        </w:r>
        <w:r w:rsidR="00BD72E6">
          <w:rPr>
            <w:noProof/>
          </w:rPr>
          <w:t>2</w:t>
        </w:r>
        <w:r>
          <w:rPr>
            <w:noProof/>
          </w:rPr>
          <w:fldChar w:fldCharType="end"/>
        </w:r>
      </w:p>
    </w:sdtContent>
  </w:sdt>
  <w:p w14:paraId="7351AB1D" w14:textId="77777777" w:rsidR="00480024" w:rsidRDefault="00480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FC1AE" w14:textId="77777777" w:rsidR="00063856" w:rsidRDefault="00063856" w:rsidP="007C572D">
      <w:pPr>
        <w:spacing w:after="0" w:line="240" w:lineRule="auto"/>
      </w:pPr>
      <w:r>
        <w:separator/>
      </w:r>
    </w:p>
  </w:footnote>
  <w:footnote w:type="continuationSeparator" w:id="0">
    <w:p w14:paraId="10739F9A" w14:textId="77777777" w:rsidR="00063856" w:rsidRDefault="00063856" w:rsidP="007C572D">
      <w:pPr>
        <w:spacing w:after="0" w:line="240" w:lineRule="auto"/>
      </w:pPr>
      <w:r>
        <w:continuationSeparator/>
      </w:r>
    </w:p>
  </w:footnote>
  <w:footnote w:id="1">
    <w:p w14:paraId="081F3567" w14:textId="77777777" w:rsidR="00480024" w:rsidRDefault="00480024" w:rsidP="00480024">
      <w:pPr>
        <w:pStyle w:val="FootnoteText"/>
      </w:pPr>
      <w:r>
        <w:rPr>
          <w:rStyle w:val="FootnoteReference"/>
        </w:rPr>
        <w:footnoteRef/>
      </w:r>
      <w:r>
        <w:t xml:space="preserve"> The study was completed by researchers with the Ecosystem Workforce Program at Oregon State University</w:t>
      </w:r>
    </w:p>
  </w:footnote>
  <w:footnote w:id="2">
    <w:p w14:paraId="1C7ACB47" w14:textId="77777777" w:rsidR="00B70EEB" w:rsidRDefault="00B70EEB" w:rsidP="00B70EEB">
      <w:pPr>
        <w:pStyle w:val="FootnoteText"/>
      </w:pPr>
      <w:r>
        <w:rPr>
          <w:rStyle w:val="FootnoteReference"/>
        </w:rPr>
        <w:t>[1]</w:t>
      </w:r>
      <w:r>
        <w:t xml:space="preserve"> CFLRP appropriation refers to funds authorized by the 2009 Omnibus Public Land Management Act (Collaborative Forest Landscape Restoration Fund). Totals do not include cost pool deductions. </w:t>
      </w:r>
    </w:p>
  </w:footnote>
  <w:footnote w:id="3">
    <w:p w14:paraId="2DD52555" w14:textId="16AC14F7" w:rsidR="00B70EEB" w:rsidRDefault="00B70EEB" w:rsidP="00B70EEB">
      <w:pPr>
        <w:pStyle w:val="FootnoteText"/>
      </w:pPr>
      <w:r>
        <w:rPr>
          <w:rStyle w:val="FootnoteReference"/>
        </w:rPr>
        <w:t>[2]</w:t>
      </w:r>
      <w:r>
        <w:t xml:space="preserve"> CFLR expenditures are lower than the full $40 million appropriation due to cost pool deductions </w:t>
      </w:r>
    </w:p>
  </w:footnote>
  <w:footnote w:id="4">
    <w:p w14:paraId="6505ECBE" w14:textId="62AD0818" w:rsidR="00B70EEB" w:rsidRDefault="00B70EEB" w:rsidP="00B70EEB">
      <w:pPr>
        <w:pStyle w:val="FootnoteText"/>
      </w:pPr>
      <w:r>
        <w:rPr>
          <w:rStyle w:val="FootnoteReference"/>
        </w:rPr>
        <w:t>[3]</w:t>
      </w:r>
      <w:r>
        <w:t xml:space="preserve"> Includes Agency appropriated, permanent, and trust funds used for restoration implementation and monitoring on NFS lands that was not appropriated through the Collaboration Forest Landscape Restoration Fund.</w:t>
      </w:r>
    </w:p>
  </w:footnote>
  <w:footnote w:id="5">
    <w:p w14:paraId="2F581E13" w14:textId="77777777" w:rsidR="00B70EEB" w:rsidRDefault="00B70EEB" w:rsidP="00B70EEB">
      <w:pPr>
        <w:pStyle w:val="FootnoteText"/>
      </w:pPr>
      <w:r>
        <w:rPr>
          <w:rStyle w:val="FootnoteReference"/>
        </w:rPr>
        <w:t>[4]</w:t>
      </w:r>
      <w:r>
        <w:t xml:space="preserve"> Goods for Services represents the value of goods traded for services in stewardship contracts expended to implement treatments and monitor a CFLRP project on NFS lands.</w:t>
      </w:r>
      <w:r>
        <w:rPr>
          <w:b/>
          <w:bCs/>
          <w:i/>
          <w:iCs/>
        </w:rPr>
        <w:t xml:space="preserve"> Note that the FY16 and FY17 actual/estimated totals reflect the total credit limit for goods for services traded through contracts awarded in that Fiscal Year (the 2015 total and 2016 estimate only counted specific credits charged in the Fiscal Year for all previous contracts)</w:t>
      </w:r>
    </w:p>
  </w:footnote>
  <w:footnote w:id="6">
    <w:p w14:paraId="62868BB4" w14:textId="77777777" w:rsidR="00B70EEB" w:rsidRDefault="00B70EEB" w:rsidP="00B70EEB">
      <w:pPr>
        <w:pStyle w:val="FootnoteText"/>
      </w:pPr>
      <w:r>
        <w:rPr>
          <w:rStyle w:val="FootnoteReference"/>
        </w:rPr>
        <w:t>[5]</w:t>
      </w:r>
      <w:r>
        <w:t xml:space="preserve"> Leverage includes funds or in-kind services that help projects achieve proposed objectives within the CFLRP landscape but do not meet match qualifications, such as implementation and monitoring on private, State, and other Federal lands within the CFLRP landscape, but not on NFS lands.  </w:t>
      </w:r>
    </w:p>
  </w:footnote>
  <w:footnote w:id="7">
    <w:p w14:paraId="5EAA5932" w14:textId="77777777" w:rsidR="00B70EEB" w:rsidRDefault="00B70EEB" w:rsidP="00B70EEB">
      <w:pPr>
        <w:pStyle w:val="FootnoteText"/>
      </w:pPr>
      <w:r>
        <w:rPr>
          <w:rStyle w:val="FootnoteReference"/>
        </w:rPr>
        <w:t>[6]</w:t>
      </w:r>
      <w:r>
        <w:t xml:space="preserve"> Labor income estimated from Treatment for Restoration Economic Analysis Tool, a standard interface designed for CFLRP that generates project impacts from proposed restoration activities within the counties where activities occur.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724AC" w14:textId="1B38BD0D" w:rsidR="00192568" w:rsidRPr="00192568" w:rsidRDefault="00926272" w:rsidP="00192568">
    <w:pPr>
      <w:pStyle w:val="Header"/>
      <w:tabs>
        <w:tab w:val="clear" w:pos="4680"/>
        <w:tab w:val="clear" w:pos="9360"/>
        <w:tab w:val="left" w:pos="2895"/>
      </w:tabs>
      <w:jc w:val="center"/>
      <w:rPr>
        <w:b/>
      </w:rPr>
    </w:pPr>
    <w:r>
      <w:rPr>
        <w:b/>
      </w:rPr>
      <w:t>Last updated 8/</w:t>
    </w:r>
    <w:r w:rsidR="00B33E7E">
      <w:rPr>
        <w:b/>
      </w:rPr>
      <w:t>3</w:t>
    </w:r>
    <w:r>
      <w:rPr>
        <w:b/>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50CA"/>
    <w:multiLevelType w:val="hybridMultilevel"/>
    <w:tmpl w:val="1A164476"/>
    <w:lvl w:ilvl="0" w:tplc="4BA2F96A">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10AB3"/>
    <w:multiLevelType w:val="hybridMultilevel"/>
    <w:tmpl w:val="572EFE02"/>
    <w:lvl w:ilvl="0" w:tplc="005288F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E2C4F"/>
    <w:multiLevelType w:val="hybridMultilevel"/>
    <w:tmpl w:val="06B0CAEC"/>
    <w:lvl w:ilvl="0" w:tplc="005288F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E79E3"/>
    <w:multiLevelType w:val="hybridMultilevel"/>
    <w:tmpl w:val="94B45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097B92"/>
    <w:multiLevelType w:val="hybridMultilevel"/>
    <w:tmpl w:val="B0145C52"/>
    <w:lvl w:ilvl="0" w:tplc="B1583326">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7451C"/>
    <w:multiLevelType w:val="hybridMultilevel"/>
    <w:tmpl w:val="564C2C2E"/>
    <w:lvl w:ilvl="0" w:tplc="E9529E9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F1AB6"/>
    <w:multiLevelType w:val="hybridMultilevel"/>
    <w:tmpl w:val="921A70A4"/>
    <w:lvl w:ilvl="0" w:tplc="B1583326">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E0568"/>
    <w:multiLevelType w:val="hybridMultilevel"/>
    <w:tmpl w:val="03EE2578"/>
    <w:lvl w:ilvl="0" w:tplc="9AF8B7BE">
      <w:start w:val="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5D0FBA"/>
    <w:multiLevelType w:val="hybridMultilevel"/>
    <w:tmpl w:val="CE8415FC"/>
    <w:lvl w:ilvl="0" w:tplc="D8C822D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B003E04"/>
    <w:multiLevelType w:val="hybridMultilevel"/>
    <w:tmpl w:val="1B84DCBE"/>
    <w:lvl w:ilvl="0" w:tplc="A7E2F65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0"/>
  </w:num>
  <w:num w:numId="5">
    <w:abstractNumId w:val="3"/>
  </w:num>
  <w:num w:numId="6">
    <w:abstractNumId w:val="1"/>
  </w:num>
  <w:num w:numId="7">
    <w:abstractNumId w:val="2"/>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2D"/>
    <w:rsid w:val="00020528"/>
    <w:rsid w:val="00055F45"/>
    <w:rsid w:val="000565EC"/>
    <w:rsid w:val="00063856"/>
    <w:rsid w:val="0009520A"/>
    <w:rsid w:val="000C34A8"/>
    <w:rsid w:val="00127F58"/>
    <w:rsid w:val="00133770"/>
    <w:rsid w:val="001600BF"/>
    <w:rsid w:val="00192568"/>
    <w:rsid w:val="001A1505"/>
    <w:rsid w:val="001C7BB5"/>
    <w:rsid w:val="00211389"/>
    <w:rsid w:val="00227844"/>
    <w:rsid w:val="00250FA0"/>
    <w:rsid w:val="002E0ADF"/>
    <w:rsid w:val="003205EC"/>
    <w:rsid w:val="0033499E"/>
    <w:rsid w:val="00366EAB"/>
    <w:rsid w:val="00380B18"/>
    <w:rsid w:val="004330CE"/>
    <w:rsid w:val="00480024"/>
    <w:rsid w:val="00490003"/>
    <w:rsid w:val="004E66CA"/>
    <w:rsid w:val="00532D9D"/>
    <w:rsid w:val="00535DF0"/>
    <w:rsid w:val="00583F9F"/>
    <w:rsid w:val="005D34A3"/>
    <w:rsid w:val="0064730F"/>
    <w:rsid w:val="006755C8"/>
    <w:rsid w:val="00725DCE"/>
    <w:rsid w:val="0073450C"/>
    <w:rsid w:val="007C0889"/>
    <w:rsid w:val="007C572D"/>
    <w:rsid w:val="00826CAE"/>
    <w:rsid w:val="00841FE5"/>
    <w:rsid w:val="00872AA9"/>
    <w:rsid w:val="0087399C"/>
    <w:rsid w:val="00894C97"/>
    <w:rsid w:val="008A1BB8"/>
    <w:rsid w:val="008A5A69"/>
    <w:rsid w:val="008A6278"/>
    <w:rsid w:val="008B761F"/>
    <w:rsid w:val="008F4FA4"/>
    <w:rsid w:val="00926272"/>
    <w:rsid w:val="00926C28"/>
    <w:rsid w:val="00926C94"/>
    <w:rsid w:val="00943E9F"/>
    <w:rsid w:val="009C371C"/>
    <w:rsid w:val="009D1F96"/>
    <w:rsid w:val="009D4847"/>
    <w:rsid w:val="009D724D"/>
    <w:rsid w:val="009E69C0"/>
    <w:rsid w:val="00A11DF6"/>
    <w:rsid w:val="00A12D2A"/>
    <w:rsid w:val="00A226C0"/>
    <w:rsid w:val="00A754CF"/>
    <w:rsid w:val="00AA268E"/>
    <w:rsid w:val="00AD2B24"/>
    <w:rsid w:val="00AD49DA"/>
    <w:rsid w:val="00AD74F8"/>
    <w:rsid w:val="00B33E7E"/>
    <w:rsid w:val="00B70EEB"/>
    <w:rsid w:val="00B71BB1"/>
    <w:rsid w:val="00B76D92"/>
    <w:rsid w:val="00BC2627"/>
    <w:rsid w:val="00BC7976"/>
    <w:rsid w:val="00BD72E6"/>
    <w:rsid w:val="00C12CC0"/>
    <w:rsid w:val="00C35210"/>
    <w:rsid w:val="00CA6915"/>
    <w:rsid w:val="00CE1A51"/>
    <w:rsid w:val="00D34E03"/>
    <w:rsid w:val="00D50954"/>
    <w:rsid w:val="00D54A62"/>
    <w:rsid w:val="00D730A9"/>
    <w:rsid w:val="00E65B3F"/>
    <w:rsid w:val="00E67AC9"/>
    <w:rsid w:val="00EC6880"/>
    <w:rsid w:val="00F0194D"/>
    <w:rsid w:val="00F06AE2"/>
    <w:rsid w:val="00F514AF"/>
    <w:rsid w:val="00F62608"/>
    <w:rsid w:val="00F663F2"/>
    <w:rsid w:val="00F66FA5"/>
    <w:rsid w:val="00F749EB"/>
    <w:rsid w:val="00F912D1"/>
    <w:rsid w:val="00FA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F1B3"/>
  <w15:docId w15:val="{4BAFFEB5-EC6B-4DDC-B702-067D48CA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6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4C97"/>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94C97"/>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72D"/>
  </w:style>
  <w:style w:type="paragraph" w:styleId="Footer">
    <w:name w:val="footer"/>
    <w:basedOn w:val="Normal"/>
    <w:link w:val="FooterChar"/>
    <w:uiPriority w:val="99"/>
    <w:unhideWhenUsed/>
    <w:rsid w:val="007C5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72D"/>
  </w:style>
  <w:style w:type="table" w:styleId="TableGrid">
    <w:name w:val="Table Grid"/>
    <w:basedOn w:val="TableNormal"/>
    <w:uiPriority w:val="39"/>
    <w:rsid w:val="009D7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9D724D"/>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9D724D"/>
    <w:rPr>
      <w:rFonts w:ascii="Times New Roman" w:hAnsi="Times New Roman"/>
      <w:sz w:val="20"/>
      <w:szCs w:val="20"/>
    </w:rPr>
  </w:style>
  <w:style w:type="character" w:styleId="FootnoteReference">
    <w:name w:val="footnote reference"/>
    <w:basedOn w:val="DefaultParagraphFont"/>
    <w:unhideWhenUsed/>
    <w:rsid w:val="009D724D"/>
    <w:rPr>
      <w:vertAlign w:val="superscript"/>
    </w:rPr>
  </w:style>
  <w:style w:type="character" w:styleId="CommentReference">
    <w:name w:val="annotation reference"/>
    <w:basedOn w:val="DefaultParagraphFont"/>
    <w:uiPriority w:val="99"/>
    <w:semiHidden/>
    <w:unhideWhenUsed/>
    <w:rsid w:val="00872AA9"/>
    <w:rPr>
      <w:sz w:val="16"/>
      <w:szCs w:val="16"/>
    </w:rPr>
  </w:style>
  <w:style w:type="paragraph" w:styleId="CommentText">
    <w:name w:val="annotation text"/>
    <w:basedOn w:val="Normal"/>
    <w:link w:val="CommentTextChar"/>
    <w:uiPriority w:val="99"/>
    <w:unhideWhenUsed/>
    <w:rsid w:val="00872AA9"/>
    <w:pPr>
      <w:spacing w:line="240" w:lineRule="auto"/>
    </w:pPr>
    <w:rPr>
      <w:sz w:val="20"/>
      <w:szCs w:val="20"/>
    </w:rPr>
  </w:style>
  <w:style w:type="character" w:customStyle="1" w:styleId="CommentTextChar">
    <w:name w:val="Comment Text Char"/>
    <w:basedOn w:val="DefaultParagraphFont"/>
    <w:link w:val="CommentText"/>
    <w:uiPriority w:val="99"/>
    <w:rsid w:val="00872AA9"/>
    <w:rPr>
      <w:sz w:val="20"/>
      <w:szCs w:val="20"/>
    </w:rPr>
  </w:style>
  <w:style w:type="paragraph" w:styleId="CommentSubject">
    <w:name w:val="annotation subject"/>
    <w:basedOn w:val="CommentText"/>
    <w:next w:val="CommentText"/>
    <w:link w:val="CommentSubjectChar"/>
    <w:uiPriority w:val="99"/>
    <w:semiHidden/>
    <w:unhideWhenUsed/>
    <w:rsid w:val="00872AA9"/>
    <w:rPr>
      <w:b/>
      <w:bCs/>
    </w:rPr>
  </w:style>
  <w:style w:type="character" w:customStyle="1" w:styleId="CommentSubjectChar">
    <w:name w:val="Comment Subject Char"/>
    <w:basedOn w:val="CommentTextChar"/>
    <w:link w:val="CommentSubject"/>
    <w:uiPriority w:val="99"/>
    <w:semiHidden/>
    <w:rsid w:val="00872AA9"/>
    <w:rPr>
      <w:b/>
      <w:bCs/>
      <w:sz w:val="20"/>
      <w:szCs w:val="20"/>
    </w:rPr>
  </w:style>
  <w:style w:type="paragraph" w:styleId="BalloonText">
    <w:name w:val="Balloon Text"/>
    <w:basedOn w:val="Normal"/>
    <w:link w:val="BalloonTextChar"/>
    <w:uiPriority w:val="99"/>
    <w:semiHidden/>
    <w:unhideWhenUsed/>
    <w:rsid w:val="00872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AA9"/>
    <w:rPr>
      <w:rFonts w:ascii="Segoe UI" w:hAnsi="Segoe UI" w:cs="Segoe UI"/>
      <w:sz w:val="18"/>
      <w:szCs w:val="18"/>
    </w:rPr>
  </w:style>
  <w:style w:type="paragraph" w:styleId="ListParagraph">
    <w:name w:val="List Paragraph"/>
    <w:basedOn w:val="Normal"/>
    <w:link w:val="ListParagraphChar"/>
    <w:uiPriority w:val="34"/>
    <w:qFormat/>
    <w:rsid w:val="00872AA9"/>
    <w:pPr>
      <w:ind w:left="720"/>
      <w:contextualSpacing/>
    </w:pPr>
  </w:style>
  <w:style w:type="character" w:styleId="Hyperlink">
    <w:name w:val="Hyperlink"/>
    <w:basedOn w:val="DefaultParagraphFont"/>
    <w:uiPriority w:val="99"/>
    <w:unhideWhenUsed/>
    <w:rsid w:val="000565EC"/>
    <w:rPr>
      <w:color w:val="0563C1" w:themeColor="hyperlink"/>
      <w:u w:val="single"/>
    </w:rPr>
  </w:style>
  <w:style w:type="character" w:customStyle="1" w:styleId="ListParagraphChar">
    <w:name w:val="List Paragraph Char"/>
    <w:basedOn w:val="DefaultParagraphFont"/>
    <w:link w:val="ListParagraph"/>
    <w:uiPriority w:val="34"/>
    <w:locked/>
    <w:rsid w:val="000565EC"/>
  </w:style>
  <w:style w:type="paragraph" w:styleId="NormalWeb">
    <w:name w:val="Normal (Web)"/>
    <w:aliases w:val="Normal (Web) Char"/>
    <w:basedOn w:val="Normal"/>
    <w:link w:val="NormalWebChar1"/>
    <w:uiPriority w:val="99"/>
    <w:rsid w:val="00535D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aliases w:val="Normal (Web) Char Char"/>
    <w:basedOn w:val="DefaultParagraphFont"/>
    <w:link w:val="NormalWeb"/>
    <w:locked/>
    <w:rsid w:val="00535DF0"/>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94C9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894C97"/>
    <w:rPr>
      <w:rFonts w:ascii="Times New Roman" w:eastAsia="Times New Roman" w:hAnsi="Times New Roman" w:cs="Times New Roman"/>
      <w:b/>
      <w:bCs/>
      <w:sz w:val="24"/>
      <w:szCs w:val="24"/>
    </w:rPr>
  </w:style>
  <w:style w:type="paragraph" w:styleId="NoSpacing">
    <w:name w:val="No Spacing"/>
    <w:uiPriority w:val="1"/>
    <w:qFormat/>
    <w:rsid w:val="00BC2627"/>
    <w:pPr>
      <w:spacing w:after="0" w:line="240" w:lineRule="auto"/>
    </w:pPr>
  </w:style>
  <w:style w:type="character" w:customStyle="1" w:styleId="Heading1Char">
    <w:name w:val="Heading 1 Char"/>
    <w:basedOn w:val="DefaultParagraphFont"/>
    <w:link w:val="Heading1"/>
    <w:uiPriority w:val="9"/>
    <w:rsid w:val="00826CAE"/>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826CA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291">
      <w:bodyDiv w:val="1"/>
      <w:marLeft w:val="0"/>
      <w:marRight w:val="0"/>
      <w:marTop w:val="0"/>
      <w:marBottom w:val="0"/>
      <w:divBdr>
        <w:top w:val="none" w:sz="0" w:space="0" w:color="auto"/>
        <w:left w:val="none" w:sz="0" w:space="0" w:color="auto"/>
        <w:bottom w:val="none" w:sz="0" w:space="0" w:color="auto"/>
        <w:right w:val="none" w:sz="0" w:space="0" w:color="auto"/>
      </w:divBdr>
    </w:div>
    <w:div w:id="180243931">
      <w:bodyDiv w:val="1"/>
      <w:marLeft w:val="0"/>
      <w:marRight w:val="0"/>
      <w:marTop w:val="0"/>
      <w:marBottom w:val="0"/>
      <w:divBdr>
        <w:top w:val="none" w:sz="0" w:space="0" w:color="auto"/>
        <w:left w:val="none" w:sz="0" w:space="0" w:color="auto"/>
        <w:bottom w:val="none" w:sz="0" w:space="0" w:color="auto"/>
        <w:right w:val="none" w:sz="0" w:space="0" w:color="auto"/>
      </w:divBdr>
    </w:div>
    <w:div w:id="262151062">
      <w:bodyDiv w:val="1"/>
      <w:marLeft w:val="0"/>
      <w:marRight w:val="0"/>
      <w:marTop w:val="0"/>
      <w:marBottom w:val="0"/>
      <w:divBdr>
        <w:top w:val="none" w:sz="0" w:space="0" w:color="auto"/>
        <w:left w:val="none" w:sz="0" w:space="0" w:color="auto"/>
        <w:bottom w:val="none" w:sz="0" w:space="0" w:color="auto"/>
        <w:right w:val="none" w:sz="0" w:space="0" w:color="auto"/>
      </w:divBdr>
    </w:div>
    <w:div w:id="294726652">
      <w:bodyDiv w:val="1"/>
      <w:marLeft w:val="0"/>
      <w:marRight w:val="0"/>
      <w:marTop w:val="0"/>
      <w:marBottom w:val="0"/>
      <w:divBdr>
        <w:top w:val="none" w:sz="0" w:space="0" w:color="auto"/>
        <w:left w:val="none" w:sz="0" w:space="0" w:color="auto"/>
        <w:bottom w:val="none" w:sz="0" w:space="0" w:color="auto"/>
        <w:right w:val="none" w:sz="0" w:space="0" w:color="auto"/>
      </w:divBdr>
    </w:div>
    <w:div w:id="308827678">
      <w:bodyDiv w:val="1"/>
      <w:marLeft w:val="0"/>
      <w:marRight w:val="0"/>
      <w:marTop w:val="0"/>
      <w:marBottom w:val="0"/>
      <w:divBdr>
        <w:top w:val="none" w:sz="0" w:space="0" w:color="auto"/>
        <w:left w:val="none" w:sz="0" w:space="0" w:color="auto"/>
        <w:bottom w:val="none" w:sz="0" w:space="0" w:color="auto"/>
        <w:right w:val="none" w:sz="0" w:space="0" w:color="auto"/>
      </w:divBdr>
    </w:div>
    <w:div w:id="469594553">
      <w:bodyDiv w:val="1"/>
      <w:marLeft w:val="0"/>
      <w:marRight w:val="0"/>
      <w:marTop w:val="0"/>
      <w:marBottom w:val="0"/>
      <w:divBdr>
        <w:top w:val="none" w:sz="0" w:space="0" w:color="auto"/>
        <w:left w:val="none" w:sz="0" w:space="0" w:color="auto"/>
        <w:bottom w:val="none" w:sz="0" w:space="0" w:color="auto"/>
        <w:right w:val="none" w:sz="0" w:space="0" w:color="auto"/>
      </w:divBdr>
    </w:div>
    <w:div w:id="487744843">
      <w:bodyDiv w:val="1"/>
      <w:marLeft w:val="0"/>
      <w:marRight w:val="0"/>
      <w:marTop w:val="0"/>
      <w:marBottom w:val="0"/>
      <w:divBdr>
        <w:top w:val="none" w:sz="0" w:space="0" w:color="auto"/>
        <w:left w:val="none" w:sz="0" w:space="0" w:color="auto"/>
        <w:bottom w:val="none" w:sz="0" w:space="0" w:color="auto"/>
        <w:right w:val="none" w:sz="0" w:space="0" w:color="auto"/>
      </w:divBdr>
    </w:div>
    <w:div w:id="525019932">
      <w:bodyDiv w:val="1"/>
      <w:marLeft w:val="0"/>
      <w:marRight w:val="0"/>
      <w:marTop w:val="0"/>
      <w:marBottom w:val="0"/>
      <w:divBdr>
        <w:top w:val="none" w:sz="0" w:space="0" w:color="auto"/>
        <w:left w:val="none" w:sz="0" w:space="0" w:color="auto"/>
        <w:bottom w:val="none" w:sz="0" w:space="0" w:color="auto"/>
        <w:right w:val="none" w:sz="0" w:space="0" w:color="auto"/>
      </w:divBdr>
    </w:div>
    <w:div w:id="565724880">
      <w:bodyDiv w:val="1"/>
      <w:marLeft w:val="0"/>
      <w:marRight w:val="0"/>
      <w:marTop w:val="0"/>
      <w:marBottom w:val="0"/>
      <w:divBdr>
        <w:top w:val="none" w:sz="0" w:space="0" w:color="auto"/>
        <w:left w:val="none" w:sz="0" w:space="0" w:color="auto"/>
        <w:bottom w:val="none" w:sz="0" w:space="0" w:color="auto"/>
        <w:right w:val="none" w:sz="0" w:space="0" w:color="auto"/>
      </w:divBdr>
    </w:div>
    <w:div w:id="779228160">
      <w:bodyDiv w:val="1"/>
      <w:marLeft w:val="0"/>
      <w:marRight w:val="0"/>
      <w:marTop w:val="0"/>
      <w:marBottom w:val="0"/>
      <w:divBdr>
        <w:top w:val="none" w:sz="0" w:space="0" w:color="auto"/>
        <w:left w:val="none" w:sz="0" w:space="0" w:color="auto"/>
        <w:bottom w:val="none" w:sz="0" w:space="0" w:color="auto"/>
        <w:right w:val="none" w:sz="0" w:space="0" w:color="auto"/>
      </w:divBdr>
    </w:div>
    <w:div w:id="809370618">
      <w:bodyDiv w:val="1"/>
      <w:marLeft w:val="0"/>
      <w:marRight w:val="0"/>
      <w:marTop w:val="0"/>
      <w:marBottom w:val="0"/>
      <w:divBdr>
        <w:top w:val="none" w:sz="0" w:space="0" w:color="auto"/>
        <w:left w:val="none" w:sz="0" w:space="0" w:color="auto"/>
        <w:bottom w:val="none" w:sz="0" w:space="0" w:color="auto"/>
        <w:right w:val="none" w:sz="0" w:space="0" w:color="auto"/>
      </w:divBdr>
    </w:div>
    <w:div w:id="1228344701">
      <w:bodyDiv w:val="1"/>
      <w:marLeft w:val="0"/>
      <w:marRight w:val="0"/>
      <w:marTop w:val="0"/>
      <w:marBottom w:val="0"/>
      <w:divBdr>
        <w:top w:val="none" w:sz="0" w:space="0" w:color="auto"/>
        <w:left w:val="none" w:sz="0" w:space="0" w:color="auto"/>
        <w:bottom w:val="none" w:sz="0" w:space="0" w:color="auto"/>
        <w:right w:val="none" w:sz="0" w:space="0" w:color="auto"/>
      </w:divBdr>
    </w:div>
    <w:div w:id="1432699095">
      <w:bodyDiv w:val="1"/>
      <w:marLeft w:val="0"/>
      <w:marRight w:val="0"/>
      <w:marTop w:val="0"/>
      <w:marBottom w:val="0"/>
      <w:divBdr>
        <w:top w:val="none" w:sz="0" w:space="0" w:color="auto"/>
        <w:left w:val="none" w:sz="0" w:space="0" w:color="auto"/>
        <w:bottom w:val="none" w:sz="0" w:space="0" w:color="auto"/>
        <w:right w:val="none" w:sz="0" w:space="0" w:color="auto"/>
      </w:divBdr>
    </w:div>
    <w:div w:id="1452281119">
      <w:bodyDiv w:val="1"/>
      <w:marLeft w:val="0"/>
      <w:marRight w:val="0"/>
      <w:marTop w:val="0"/>
      <w:marBottom w:val="0"/>
      <w:divBdr>
        <w:top w:val="none" w:sz="0" w:space="0" w:color="auto"/>
        <w:left w:val="none" w:sz="0" w:space="0" w:color="auto"/>
        <w:bottom w:val="none" w:sz="0" w:space="0" w:color="auto"/>
        <w:right w:val="none" w:sz="0" w:space="0" w:color="auto"/>
      </w:divBdr>
    </w:div>
    <w:div w:id="1554000305">
      <w:bodyDiv w:val="1"/>
      <w:marLeft w:val="0"/>
      <w:marRight w:val="0"/>
      <w:marTop w:val="0"/>
      <w:marBottom w:val="0"/>
      <w:divBdr>
        <w:top w:val="none" w:sz="0" w:space="0" w:color="auto"/>
        <w:left w:val="none" w:sz="0" w:space="0" w:color="auto"/>
        <w:bottom w:val="none" w:sz="0" w:space="0" w:color="auto"/>
        <w:right w:val="none" w:sz="0" w:space="0" w:color="auto"/>
      </w:divBdr>
    </w:div>
    <w:div w:id="1889612453">
      <w:bodyDiv w:val="1"/>
      <w:marLeft w:val="0"/>
      <w:marRight w:val="0"/>
      <w:marTop w:val="0"/>
      <w:marBottom w:val="0"/>
      <w:divBdr>
        <w:top w:val="none" w:sz="0" w:space="0" w:color="auto"/>
        <w:left w:val="none" w:sz="0" w:space="0" w:color="auto"/>
        <w:bottom w:val="none" w:sz="0" w:space="0" w:color="auto"/>
        <w:right w:val="none" w:sz="0" w:space="0" w:color="auto"/>
      </w:divBdr>
    </w:div>
    <w:div w:id="2012100705">
      <w:bodyDiv w:val="1"/>
      <w:marLeft w:val="0"/>
      <w:marRight w:val="0"/>
      <w:marTop w:val="0"/>
      <w:marBottom w:val="0"/>
      <w:divBdr>
        <w:top w:val="none" w:sz="0" w:space="0" w:color="auto"/>
        <w:left w:val="none" w:sz="0" w:space="0" w:color="auto"/>
        <w:bottom w:val="none" w:sz="0" w:space="0" w:color="auto"/>
        <w:right w:val="none" w:sz="0" w:space="0" w:color="auto"/>
      </w:divBdr>
    </w:div>
    <w:div w:id="211651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s.fed.us/restoration/CFLRP/results.shtm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O:\NFS\WOForestMgmt\DirectorsOffice\Project\CFLRP\CFLRPRestricted\SHARE\Tracking\Key%20Tracking%20Documents\CFLRP-AccomplishmentsOverview_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CFLR Partner Match</a:t>
            </a:r>
          </a:p>
        </c:rich>
      </c:tx>
      <c:overlay val="0"/>
      <c:spPr>
        <a:noFill/>
        <a:ln>
          <a:noFill/>
        </a:ln>
        <a:effectLst/>
      </c:spPr>
    </c:title>
    <c:autoTitleDeleted val="0"/>
    <c:plotArea>
      <c:layout/>
      <c:lineChart>
        <c:grouping val="standard"/>
        <c:varyColors val="0"/>
        <c:ser>
          <c:idx val="0"/>
          <c:order val="0"/>
          <c:tx>
            <c:strRef>
              <c:f>'Partner Match'!$F$31</c:f>
              <c:strCache>
                <c:ptCount val="1"/>
                <c:pt idx="0">
                  <c:v>Partner Match</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strRef>
              <c:f>'Partner Match'!$G$30:$M$30</c:f>
              <c:strCache>
                <c:ptCount val="7"/>
                <c:pt idx="0">
                  <c:v>2010 (10 projects)</c:v>
                </c:pt>
                <c:pt idx="1">
                  <c:v>2011 (10 projects)</c:v>
                </c:pt>
                <c:pt idx="2">
                  <c:v>2012 (23 projects)</c:v>
                </c:pt>
                <c:pt idx="3">
                  <c:v>2013 (23 projects)</c:v>
                </c:pt>
                <c:pt idx="4">
                  <c:v>2014 (23 projects)</c:v>
                </c:pt>
                <c:pt idx="5">
                  <c:v>2015 (23 projects)</c:v>
                </c:pt>
                <c:pt idx="6">
                  <c:v>2016 (23 projects)</c:v>
                </c:pt>
              </c:strCache>
            </c:strRef>
          </c:cat>
          <c:val>
            <c:numRef>
              <c:f>'Partner Match'!$G$31:$M$31</c:f>
              <c:numCache>
                <c:formatCode>General</c:formatCode>
                <c:ptCount val="7"/>
                <c:pt idx="0">
                  <c:v>3317971</c:v>
                </c:pt>
                <c:pt idx="1">
                  <c:v>7481940</c:v>
                </c:pt>
                <c:pt idx="2">
                  <c:v>12439192</c:v>
                </c:pt>
                <c:pt idx="3">
                  <c:v>32129314.399999999</c:v>
                </c:pt>
                <c:pt idx="4">
                  <c:v>20765351.52</c:v>
                </c:pt>
                <c:pt idx="5">
                  <c:v>15225920</c:v>
                </c:pt>
                <c:pt idx="6">
                  <c:v>18686186</c:v>
                </c:pt>
              </c:numCache>
            </c:numRef>
          </c:val>
          <c:smooth val="0"/>
        </c:ser>
        <c:dLbls>
          <c:showLegendKey val="0"/>
          <c:showVal val="0"/>
          <c:showCatName val="0"/>
          <c:showSerName val="0"/>
          <c:showPercent val="0"/>
          <c:showBubbleSize val="0"/>
        </c:dLbls>
        <c:smooth val="0"/>
        <c:axId val="628063272"/>
        <c:axId val="628064056"/>
      </c:lineChart>
      <c:catAx>
        <c:axId val="628063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64056"/>
        <c:crosses val="autoZero"/>
        <c:auto val="1"/>
        <c:lblAlgn val="ctr"/>
        <c:lblOffset val="100"/>
        <c:noMultiLvlLbl val="0"/>
      </c:catAx>
      <c:valAx>
        <c:axId val="628064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63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CFLRP Accomplishments</a:t>
            </a:r>
            <a:r>
              <a:rPr lang="en-US" baseline="0"/>
              <a:t> Over Time</a:t>
            </a:r>
            <a:endParaRPr lang="en-US"/>
          </a:p>
        </c:rich>
      </c:tx>
      <c:overlay val="0"/>
      <c:spPr>
        <a:noFill/>
        <a:ln>
          <a:noFill/>
        </a:ln>
        <a:effectLst/>
      </c:spPr>
    </c:title>
    <c:autoTitleDeleted val="0"/>
    <c:plotArea>
      <c:layout/>
      <c:lineChart>
        <c:grouping val="standard"/>
        <c:varyColors val="0"/>
        <c:ser>
          <c:idx val="0"/>
          <c:order val="0"/>
          <c:tx>
            <c:strRef>
              <c:f>Performance!$B$3</c:f>
              <c:strCache>
                <c:ptCount val="1"/>
                <c:pt idx="0">
                  <c:v>Acres of forestland vegetation established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Performance!$C$2:$I$2</c:f>
              <c:strCache>
                <c:ptCount val="7"/>
                <c:pt idx="0">
                  <c:v>FY 2010</c:v>
                </c:pt>
                <c:pt idx="1">
                  <c:v>FY 2011</c:v>
                </c:pt>
                <c:pt idx="2">
                  <c:v>FY 2012</c:v>
                </c:pt>
                <c:pt idx="3">
                  <c:v>FY 2013</c:v>
                </c:pt>
                <c:pt idx="4">
                  <c:v>FY 2014</c:v>
                </c:pt>
                <c:pt idx="5">
                  <c:v>FY 2015</c:v>
                </c:pt>
                <c:pt idx="6">
                  <c:v>FY 2016</c:v>
                </c:pt>
              </c:strCache>
            </c:strRef>
          </c:cat>
          <c:val>
            <c:numRef>
              <c:f>Performance!$C$3:$I$3</c:f>
              <c:numCache>
                <c:formatCode>#,##0</c:formatCode>
                <c:ptCount val="7"/>
                <c:pt idx="0">
                  <c:v>17168</c:v>
                </c:pt>
                <c:pt idx="1">
                  <c:v>20560.599999999999</c:v>
                </c:pt>
                <c:pt idx="2">
                  <c:v>35796.200000000004</c:v>
                </c:pt>
                <c:pt idx="3">
                  <c:v>67510.7</c:v>
                </c:pt>
                <c:pt idx="4">
                  <c:v>71737.600000000006</c:v>
                </c:pt>
                <c:pt idx="5">
                  <c:v>55918.2</c:v>
                </c:pt>
                <c:pt idx="6">
                  <c:v>67236.699999999983</c:v>
                </c:pt>
              </c:numCache>
            </c:numRef>
          </c:val>
          <c:smooth val="0"/>
        </c:ser>
        <c:ser>
          <c:idx val="1"/>
          <c:order val="1"/>
          <c:tx>
            <c:strRef>
              <c:f>Performance!$B$4</c:f>
              <c:strCache>
                <c:ptCount val="1"/>
                <c:pt idx="0">
                  <c:v>All Hazardous Fuels Treatments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Performance!$C$2:$I$2</c:f>
              <c:strCache>
                <c:ptCount val="7"/>
                <c:pt idx="0">
                  <c:v>FY 2010</c:v>
                </c:pt>
                <c:pt idx="1">
                  <c:v>FY 2011</c:v>
                </c:pt>
                <c:pt idx="2">
                  <c:v>FY 2012</c:v>
                </c:pt>
                <c:pt idx="3">
                  <c:v>FY 2013</c:v>
                </c:pt>
                <c:pt idx="4">
                  <c:v>FY 2014</c:v>
                </c:pt>
                <c:pt idx="5">
                  <c:v>FY 2015</c:v>
                </c:pt>
                <c:pt idx="6">
                  <c:v>FY 2016</c:v>
                </c:pt>
              </c:strCache>
            </c:strRef>
          </c:cat>
          <c:val>
            <c:numRef>
              <c:f>Performance!$C$4:$I$4</c:f>
              <c:numCache>
                <c:formatCode>#,##0</c:formatCode>
                <c:ptCount val="7"/>
                <c:pt idx="0">
                  <c:v>154352.4</c:v>
                </c:pt>
                <c:pt idx="1">
                  <c:v>123017</c:v>
                </c:pt>
                <c:pt idx="2">
                  <c:v>335030.3</c:v>
                </c:pt>
                <c:pt idx="3">
                  <c:v>419878.19999999995</c:v>
                </c:pt>
                <c:pt idx="4">
                  <c:v>422074.9</c:v>
                </c:pt>
                <c:pt idx="5">
                  <c:v>360948.8</c:v>
                </c:pt>
                <c:pt idx="6">
                  <c:v>640954.1</c:v>
                </c:pt>
              </c:numCache>
            </c:numRef>
          </c:val>
          <c:smooth val="0"/>
        </c:ser>
        <c:ser>
          <c:idx val="2"/>
          <c:order val="2"/>
          <c:tx>
            <c:strRef>
              <c:f>Performance!$B$5</c:f>
              <c:strCache>
                <c:ptCount val="1"/>
                <c:pt idx="0">
                  <c:v>Miles of stream habitat restored or enhanced</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Performance!$C$2:$I$2</c:f>
              <c:strCache>
                <c:ptCount val="7"/>
                <c:pt idx="0">
                  <c:v>FY 2010</c:v>
                </c:pt>
                <c:pt idx="1">
                  <c:v>FY 2011</c:v>
                </c:pt>
                <c:pt idx="2">
                  <c:v>FY 2012</c:v>
                </c:pt>
                <c:pt idx="3">
                  <c:v>FY 2013</c:v>
                </c:pt>
                <c:pt idx="4">
                  <c:v>FY 2014</c:v>
                </c:pt>
                <c:pt idx="5">
                  <c:v>FY 2015</c:v>
                </c:pt>
                <c:pt idx="6">
                  <c:v>FY 2016</c:v>
                </c:pt>
              </c:strCache>
            </c:strRef>
          </c:cat>
          <c:val>
            <c:numRef>
              <c:f>Performance!$C$5:$I$5</c:f>
              <c:numCache>
                <c:formatCode>#,##0</c:formatCode>
                <c:ptCount val="7"/>
                <c:pt idx="0">
                  <c:v>27.6</c:v>
                </c:pt>
                <c:pt idx="1">
                  <c:v>38.1</c:v>
                </c:pt>
                <c:pt idx="2">
                  <c:v>324.8</c:v>
                </c:pt>
                <c:pt idx="3">
                  <c:v>111.39999999999999</c:v>
                </c:pt>
                <c:pt idx="4">
                  <c:v>200.18</c:v>
                </c:pt>
                <c:pt idx="5">
                  <c:v>134.50000000000003</c:v>
                </c:pt>
                <c:pt idx="6">
                  <c:v>195.41309999999996</c:v>
                </c:pt>
              </c:numCache>
            </c:numRef>
          </c:val>
          <c:smooth val="0"/>
        </c:ser>
        <c:ser>
          <c:idx val="3"/>
          <c:order val="3"/>
          <c:tx>
            <c:strRef>
              <c:f>Performance!$B$6</c:f>
              <c:strCache>
                <c:ptCount val="1"/>
                <c:pt idx="0">
                  <c:v>Acres of terrestrial habitat restored/enhanced</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Performance!$C$2:$I$2</c:f>
              <c:strCache>
                <c:ptCount val="7"/>
                <c:pt idx="0">
                  <c:v>FY 2010</c:v>
                </c:pt>
                <c:pt idx="1">
                  <c:v>FY 2011</c:v>
                </c:pt>
                <c:pt idx="2">
                  <c:v>FY 2012</c:v>
                </c:pt>
                <c:pt idx="3">
                  <c:v>FY 2013</c:v>
                </c:pt>
                <c:pt idx="4">
                  <c:v>FY 2014</c:v>
                </c:pt>
                <c:pt idx="5">
                  <c:v>FY 2015</c:v>
                </c:pt>
                <c:pt idx="6">
                  <c:v>FY 2016</c:v>
                </c:pt>
              </c:strCache>
            </c:strRef>
          </c:cat>
          <c:val>
            <c:numRef>
              <c:f>Performance!$C$6:$I$6</c:f>
              <c:numCache>
                <c:formatCode>#,##0</c:formatCode>
                <c:ptCount val="7"/>
                <c:pt idx="0">
                  <c:v>65921</c:v>
                </c:pt>
                <c:pt idx="1">
                  <c:v>167263</c:v>
                </c:pt>
                <c:pt idx="2">
                  <c:v>304633.10000000003</c:v>
                </c:pt>
                <c:pt idx="3">
                  <c:v>398231.2</c:v>
                </c:pt>
                <c:pt idx="4">
                  <c:v>399860.62999999995</c:v>
                </c:pt>
                <c:pt idx="5">
                  <c:v>284762.64999999991</c:v>
                </c:pt>
                <c:pt idx="6">
                  <c:v>461295.04930000013</c:v>
                </c:pt>
              </c:numCache>
            </c:numRef>
          </c:val>
          <c:smooth val="0"/>
        </c:ser>
        <c:ser>
          <c:idx val="4"/>
          <c:order val="4"/>
          <c:tx>
            <c:strRef>
              <c:f>Performance!$B$7</c:f>
              <c:strCache>
                <c:ptCount val="1"/>
                <c:pt idx="0">
                  <c:v>Acres treated for noxious weeds/invasive plants on NFS lands</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Performance!$C$2:$I$2</c:f>
              <c:strCache>
                <c:ptCount val="7"/>
                <c:pt idx="0">
                  <c:v>FY 2010</c:v>
                </c:pt>
                <c:pt idx="1">
                  <c:v>FY 2011</c:v>
                </c:pt>
                <c:pt idx="2">
                  <c:v>FY 2012</c:v>
                </c:pt>
                <c:pt idx="3">
                  <c:v>FY 2013</c:v>
                </c:pt>
                <c:pt idx="4">
                  <c:v>FY 2014</c:v>
                </c:pt>
                <c:pt idx="5">
                  <c:v>FY 2015</c:v>
                </c:pt>
                <c:pt idx="6">
                  <c:v>FY 2016</c:v>
                </c:pt>
              </c:strCache>
            </c:strRef>
          </c:cat>
          <c:val>
            <c:numRef>
              <c:f>Performance!$C$7:$I$7</c:f>
              <c:numCache>
                <c:formatCode>#,##0</c:formatCode>
                <c:ptCount val="7"/>
                <c:pt idx="0">
                  <c:v>8658.56</c:v>
                </c:pt>
                <c:pt idx="1">
                  <c:v>11393.5</c:v>
                </c:pt>
                <c:pt idx="2">
                  <c:v>22250.3</c:v>
                </c:pt>
                <c:pt idx="3">
                  <c:v>18180.3</c:v>
                </c:pt>
                <c:pt idx="4">
                  <c:v>13270.699999999999</c:v>
                </c:pt>
                <c:pt idx="5">
                  <c:v>15213.800000000001</c:v>
                </c:pt>
                <c:pt idx="6">
                  <c:v>28891.100000000002</c:v>
                </c:pt>
              </c:numCache>
            </c:numRef>
          </c:val>
          <c:smooth val="0"/>
        </c:ser>
        <c:ser>
          <c:idx val="5"/>
          <c:order val="5"/>
          <c:tx>
            <c:strRef>
              <c:f>Performance!$B$8</c:f>
              <c:strCache>
                <c:ptCount val="1"/>
                <c:pt idx="0">
                  <c:v>Miles of road decommissioned </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Performance!$C$2:$I$2</c:f>
              <c:strCache>
                <c:ptCount val="7"/>
                <c:pt idx="0">
                  <c:v>FY 2010</c:v>
                </c:pt>
                <c:pt idx="1">
                  <c:v>FY 2011</c:v>
                </c:pt>
                <c:pt idx="2">
                  <c:v>FY 2012</c:v>
                </c:pt>
                <c:pt idx="3">
                  <c:v>FY 2013</c:v>
                </c:pt>
                <c:pt idx="4">
                  <c:v>FY 2014</c:v>
                </c:pt>
                <c:pt idx="5">
                  <c:v>FY 2015</c:v>
                </c:pt>
                <c:pt idx="6">
                  <c:v>FY 2016</c:v>
                </c:pt>
              </c:strCache>
            </c:strRef>
          </c:cat>
          <c:val>
            <c:numRef>
              <c:f>Performance!$C$8:$I$8</c:f>
              <c:numCache>
                <c:formatCode>#,##0</c:formatCode>
                <c:ptCount val="7"/>
                <c:pt idx="0">
                  <c:v>30</c:v>
                </c:pt>
                <c:pt idx="1">
                  <c:v>49.9</c:v>
                </c:pt>
                <c:pt idx="2">
                  <c:v>175.89</c:v>
                </c:pt>
                <c:pt idx="3">
                  <c:v>151.71</c:v>
                </c:pt>
                <c:pt idx="4">
                  <c:v>122.41999999999999</c:v>
                </c:pt>
                <c:pt idx="5">
                  <c:v>99.249999999999986</c:v>
                </c:pt>
                <c:pt idx="6">
                  <c:v>76.400000000000006</c:v>
                </c:pt>
              </c:numCache>
            </c:numRef>
          </c:val>
          <c:smooth val="0"/>
        </c:ser>
        <c:ser>
          <c:idx val="6"/>
          <c:order val="6"/>
          <c:tx>
            <c:strRef>
              <c:f>Performance!$B$9</c:f>
              <c:strCache>
                <c:ptCount val="1"/>
                <c:pt idx="0">
                  <c:v>Volume of Timber sold (MMBF, using standard conversion factor of 2000 ccf = 1 MMBF) </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Performance!$C$2:$I$2</c:f>
              <c:strCache>
                <c:ptCount val="7"/>
                <c:pt idx="0">
                  <c:v>FY 2010</c:v>
                </c:pt>
                <c:pt idx="1">
                  <c:v>FY 2011</c:v>
                </c:pt>
                <c:pt idx="2">
                  <c:v>FY 2012</c:v>
                </c:pt>
                <c:pt idx="3">
                  <c:v>FY 2013</c:v>
                </c:pt>
                <c:pt idx="4">
                  <c:v>FY 2014</c:v>
                </c:pt>
                <c:pt idx="5">
                  <c:v>FY 2015</c:v>
                </c:pt>
                <c:pt idx="6">
                  <c:v>FY 2016</c:v>
                </c:pt>
              </c:strCache>
            </c:strRef>
          </c:cat>
          <c:val>
            <c:numRef>
              <c:f>Performance!$C$9:$I$9</c:f>
              <c:numCache>
                <c:formatCode>#,##0</c:formatCode>
                <c:ptCount val="7"/>
                <c:pt idx="0">
                  <c:v>107.43300000000001</c:v>
                </c:pt>
                <c:pt idx="1">
                  <c:v>121.374</c:v>
                </c:pt>
                <c:pt idx="2">
                  <c:v>240.28270000000001</c:v>
                </c:pt>
                <c:pt idx="3">
                  <c:v>369.17030000000005</c:v>
                </c:pt>
                <c:pt idx="4">
                  <c:v>418.18474999999995</c:v>
                </c:pt>
                <c:pt idx="5">
                  <c:v>437.71810000000005</c:v>
                </c:pt>
                <c:pt idx="6">
                  <c:v>427.24622499999998</c:v>
                </c:pt>
              </c:numCache>
            </c:numRef>
          </c:val>
          <c:smooth val="0"/>
        </c:ser>
        <c:dLbls>
          <c:showLegendKey val="0"/>
          <c:showVal val="0"/>
          <c:showCatName val="0"/>
          <c:showSerName val="0"/>
          <c:showPercent val="0"/>
          <c:showBubbleSize val="0"/>
        </c:dLbls>
        <c:marker val="1"/>
        <c:smooth val="0"/>
        <c:axId val="510717352"/>
        <c:axId val="627591336"/>
      </c:lineChart>
      <c:catAx>
        <c:axId val="510717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591336"/>
        <c:crosses val="autoZero"/>
        <c:auto val="1"/>
        <c:lblAlgn val="ctr"/>
        <c:lblOffset val="100"/>
        <c:noMultiLvlLbl val="0"/>
      </c:catAx>
      <c:valAx>
        <c:axId val="627591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717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D2633-1712-44F1-89F5-CE5EBCE9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2964</Words>
  <Characters>16899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Buchanan, Lindsay S -FS</dc:creator>
  <cp:lastModifiedBy>Jill Micheau</cp:lastModifiedBy>
  <cp:revision>2</cp:revision>
  <dcterms:created xsi:type="dcterms:W3CDTF">2017-12-25T00:40:00Z</dcterms:created>
  <dcterms:modified xsi:type="dcterms:W3CDTF">2017-12-25T00:40:00Z</dcterms:modified>
</cp:coreProperties>
</file>