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C7999" w14:textId="77777777" w:rsidR="00313B6E" w:rsidRPr="002B70E2" w:rsidRDefault="00313B6E" w:rsidP="00825EA3">
      <w:pPr>
        <w:rPr>
          <w:rFonts w:eastAsia="Times New Roman" w:cs="Times New Roman"/>
          <w:b/>
          <w:color w:val="000000"/>
        </w:rPr>
      </w:pPr>
      <w:bookmarkStart w:id="0" w:name="_GoBack"/>
      <w:bookmarkEnd w:id="0"/>
    </w:p>
    <w:p w14:paraId="389ADDF8" w14:textId="77777777" w:rsidR="00D67F48" w:rsidRDefault="00A23204" w:rsidP="0068432D">
      <w:pPr>
        <w:pStyle w:val="Heading2"/>
        <w:rPr>
          <w:rFonts w:eastAsia="Times New Roman"/>
        </w:rPr>
      </w:pPr>
      <w:r w:rsidRPr="00A23204">
        <w:rPr>
          <w:rFonts w:eastAsia="Times New Roman"/>
        </w:rPr>
        <w:t>Background</w:t>
      </w:r>
    </w:p>
    <w:p w14:paraId="28425028" w14:textId="784B9476" w:rsidR="00C2236C" w:rsidRPr="00D67F48" w:rsidRDefault="00D67F48" w:rsidP="00C2236C">
      <w:pPr>
        <w:rPr>
          <w:rFonts w:eastAsia="Times New Roman" w:cs="Times New Roman"/>
          <w:b/>
          <w:color w:val="000000"/>
        </w:rPr>
      </w:pPr>
      <w:r>
        <w:rPr>
          <w:rFonts w:cs="Times New Roman"/>
        </w:rPr>
        <w:t>On October 21</w:t>
      </w:r>
      <w:r w:rsidRPr="00D67F48">
        <w:rPr>
          <w:rFonts w:cs="Times New Roman"/>
          <w:vertAlign w:val="superscript"/>
        </w:rPr>
        <w:t>st</w:t>
      </w:r>
      <w:r>
        <w:rPr>
          <w:rFonts w:cs="Times New Roman"/>
        </w:rPr>
        <w:t>, the</w:t>
      </w:r>
      <w:r w:rsidR="00C2236C" w:rsidRPr="000A2D3E">
        <w:rPr>
          <w:rFonts w:cs="Times New Roman"/>
        </w:rPr>
        <w:t xml:space="preserve"> Forest Service Regional Office convened the three collaboratives (Amador Calaveras Consensus Group (ACCG), Yosemite Stanislaus Solutions (YSS), and Dinkey) that operate within the footprint of the proposed large landscape project (MOTOR M2K)</w:t>
      </w:r>
      <w:r w:rsidR="000A2D3E">
        <w:rPr>
          <w:rFonts w:cs="Times New Roman"/>
        </w:rPr>
        <w:t xml:space="preserve"> on the Stanislaus and Sierra National Forests</w:t>
      </w:r>
      <w:r w:rsidR="00C2236C" w:rsidRPr="000A2D3E">
        <w:rPr>
          <w:rFonts w:cs="Times New Roman"/>
        </w:rPr>
        <w:t>.</w:t>
      </w:r>
      <w:r w:rsidR="00C96F82">
        <w:rPr>
          <w:rFonts w:cs="Times New Roman"/>
        </w:rPr>
        <w:t xml:space="preserve"> After determining that MOTOR M2K would not go forward,</w:t>
      </w:r>
      <w:r w:rsidR="00C2236C" w:rsidRPr="000A2D3E">
        <w:rPr>
          <w:rFonts w:cs="Times New Roman"/>
        </w:rPr>
        <w:t xml:space="preserve"> </w:t>
      </w:r>
      <w:r w:rsidR="0024158C">
        <w:rPr>
          <w:rFonts w:cs="Times New Roman"/>
        </w:rPr>
        <w:t>t</w:t>
      </w:r>
      <w:r w:rsidR="00C2236C" w:rsidRPr="000A2D3E">
        <w:rPr>
          <w:rFonts w:cs="Times New Roman"/>
        </w:rPr>
        <w:t xml:space="preserve">he Forest Service tasked each collaborative to identify </w:t>
      </w:r>
      <w:r w:rsidR="0024158C">
        <w:rPr>
          <w:rFonts w:cs="Times New Roman"/>
        </w:rPr>
        <w:t xml:space="preserve">geographic and issue </w:t>
      </w:r>
      <w:r w:rsidR="00C2236C" w:rsidRPr="000A2D3E">
        <w:rPr>
          <w:rFonts w:cs="Times New Roman"/>
        </w:rPr>
        <w:t>foc</w:t>
      </w:r>
      <w:r w:rsidR="00FA351F">
        <w:rPr>
          <w:rFonts w:cs="Times New Roman"/>
        </w:rPr>
        <w:t>al</w:t>
      </w:r>
      <w:r w:rsidR="00C2236C" w:rsidRPr="000A2D3E">
        <w:rPr>
          <w:rFonts w:cs="Times New Roman"/>
        </w:rPr>
        <w:t xml:space="preserve"> areas</w:t>
      </w:r>
      <w:r w:rsidR="000A2D3E">
        <w:rPr>
          <w:rFonts w:cs="Times New Roman"/>
        </w:rPr>
        <w:t xml:space="preserve"> </w:t>
      </w:r>
      <w:r w:rsidR="00C2236C" w:rsidRPr="000A2D3E">
        <w:rPr>
          <w:rFonts w:cs="Times New Roman"/>
        </w:rPr>
        <w:t xml:space="preserve">with </w:t>
      </w:r>
      <w:r w:rsidR="00A23204">
        <w:rPr>
          <w:rFonts w:cs="Times New Roman"/>
        </w:rPr>
        <w:t xml:space="preserve">a range </w:t>
      </w:r>
      <w:r w:rsidR="00C2236C" w:rsidRPr="000A2D3E">
        <w:rPr>
          <w:rFonts w:cs="Times New Roman"/>
        </w:rPr>
        <w:t xml:space="preserve">treatments and balanced approaches that would dramatically increase treatment areas and be implemented faster than the average large landscape NEPA process. </w:t>
      </w:r>
      <w:r w:rsidR="00A23204">
        <w:rPr>
          <w:rFonts w:cs="Times New Roman"/>
        </w:rPr>
        <w:t>The Forest Service requested that the c</w:t>
      </w:r>
      <w:r w:rsidR="00C2236C" w:rsidRPr="000A2D3E">
        <w:rPr>
          <w:rFonts w:cs="Times New Roman"/>
        </w:rPr>
        <w:t>ollaboratives report back to the Forest Supervisors</w:t>
      </w:r>
      <w:r w:rsidR="000C419C">
        <w:rPr>
          <w:rFonts w:cs="Times New Roman"/>
        </w:rPr>
        <w:t xml:space="preserve">. The Forest Service </w:t>
      </w:r>
      <w:r w:rsidR="002B70E2">
        <w:rPr>
          <w:rFonts w:cs="Times New Roman"/>
        </w:rPr>
        <w:t>clarif</w:t>
      </w:r>
      <w:r w:rsidR="000C419C">
        <w:rPr>
          <w:rFonts w:cs="Times New Roman"/>
        </w:rPr>
        <w:t xml:space="preserve">ied </w:t>
      </w:r>
      <w:r w:rsidR="00A23204">
        <w:rPr>
          <w:rFonts w:cs="Times New Roman"/>
        </w:rPr>
        <w:t>that</w:t>
      </w:r>
      <w:r w:rsidR="00C2236C" w:rsidRPr="000A2D3E">
        <w:rPr>
          <w:rFonts w:cs="Times New Roman"/>
        </w:rPr>
        <w:t xml:space="preserve"> iterative feedback between the collaboratives and the Forest Service remain</w:t>
      </w:r>
      <w:r w:rsidR="00A23204">
        <w:rPr>
          <w:rFonts w:cs="Times New Roman"/>
        </w:rPr>
        <w:t>ed</w:t>
      </w:r>
      <w:r w:rsidR="00C2236C" w:rsidRPr="000A2D3E">
        <w:rPr>
          <w:rFonts w:cs="Times New Roman"/>
        </w:rPr>
        <w:t xml:space="preserve"> on a somewhat flexible schedule, but there was general agreement that a key next step was </w:t>
      </w:r>
      <w:r w:rsidR="00A23204">
        <w:rPr>
          <w:rFonts w:cs="Times New Roman"/>
        </w:rPr>
        <w:t>the need for each collaborative to</w:t>
      </w:r>
      <w:r w:rsidR="00C2236C" w:rsidRPr="000A2D3E">
        <w:rPr>
          <w:rFonts w:cs="Times New Roman"/>
        </w:rPr>
        <w:t xml:space="preserve"> identify</w:t>
      </w:r>
      <w:r w:rsidR="00A23204">
        <w:rPr>
          <w:rFonts w:cs="Times New Roman"/>
        </w:rPr>
        <w:t xml:space="preserve"> </w:t>
      </w:r>
      <w:r w:rsidR="00C2236C" w:rsidRPr="000A2D3E">
        <w:rPr>
          <w:rFonts w:cs="Times New Roman"/>
        </w:rPr>
        <w:t>focal areas to address priorities at landscape scale.</w:t>
      </w:r>
      <w:r w:rsidR="00FA351F">
        <w:rPr>
          <w:rFonts w:cs="Times New Roman"/>
        </w:rPr>
        <w:t xml:space="preserve"> As described, "focal areas" could be geographic or issue focused, for example, they could include fuel reduction near communities, road repair, meadow restoration, habitat protection, etc. </w:t>
      </w:r>
    </w:p>
    <w:p w14:paraId="1309D8F0" w14:textId="77777777" w:rsidR="0015502B" w:rsidRDefault="0015502B" w:rsidP="00C2236C">
      <w:pPr>
        <w:rPr>
          <w:rFonts w:cs="Times New Roman"/>
        </w:rPr>
      </w:pPr>
    </w:p>
    <w:p w14:paraId="7BD430D2" w14:textId="77777777" w:rsidR="0015502B" w:rsidRDefault="0015502B" w:rsidP="00125C69">
      <w:pPr>
        <w:pStyle w:val="Heading2"/>
      </w:pPr>
      <w:r>
        <w:t>ACCG Response</w:t>
      </w:r>
    </w:p>
    <w:p w14:paraId="1661ECFD" w14:textId="068B5CBF" w:rsidR="00A23204" w:rsidRDefault="0015502B" w:rsidP="002B70E2">
      <w:pPr>
        <w:rPr>
          <w:rFonts w:cs="Times New Roman"/>
        </w:rPr>
      </w:pPr>
      <w:r>
        <w:rPr>
          <w:rFonts w:cs="Times New Roman"/>
        </w:rPr>
        <w:t>On November 8</w:t>
      </w:r>
      <w:r w:rsidR="00C96F82" w:rsidRPr="00C96F82">
        <w:rPr>
          <w:rFonts w:cs="Times New Roman"/>
          <w:vertAlign w:val="superscript"/>
        </w:rPr>
        <w:t>th</w:t>
      </w:r>
      <w:r w:rsidR="00E92D00">
        <w:rPr>
          <w:rFonts w:cs="Times New Roman"/>
        </w:rPr>
        <w:t xml:space="preserve">, </w:t>
      </w:r>
      <w:r>
        <w:rPr>
          <w:rFonts w:cs="Times New Roman"/>
        </w:rPr>
        <w:t>the ACCG Admin Work Group held its regular</w:t>
      </w:r>
      <w:r w:rsidR="00F27FC7">
        <w:rPr>
          <w:rFonts w:cs="Times New Roman"/>
        </w:rPr>
        <w:t>ly scheduled</w:t>
      </w:r>
      <w:r>
        <w:rPr>
          <w:rFonts w:cs="Times New Roman"/>
        </w:rPr>
        <w:t xml:space="preserve"> meeting via conference call to prepare for the November 20</w:t>
      </w:r>
      <w:r w:rsidRPr="0015502B">
        <w:rPr>
          <w:rFonts w:cs="Times New Roman"/>
          <w:vertAlign w:val="superscript"/>
        </w:rPr>
        <w:t>th</w:t>
      </w:r>
      <w:r>
        <w:rPr>
          <w:rFonts w:cs="Times New Roman"/>
        </w:rPr>
        <w:t xml:space="preserve"> General Meeting. On that call, </w:t>
      </w:r>
      <w:r w:rsidR="00F27FC7">
        <w:rPr>
          <w:rFonts w:cs="Times New Roman"/>
        </w:rPr>
        <w:t xml:space="preserve">Steve Wilensky encouraged the ACCG </w:t>
      </w:r>
      <w:r w:rsidR="00E92D00">
        <w:rPr>
          <w:rFonts w:cs="Times New Roman"/>
        </w:rPr>
        <w:t xml:space="preserve">Admin Work Group </w:t>
      </w:r>
      <w:r w:rsidR="00F27FC7">
        <w:rPr>
          <w:rFonts w:cs="Times New Roman"/>
        </w:rPr>
        <w:t>to propose recommendations to the full ACCG to guide its next steps to respond to the Forest Service’s request</w:t>
      </w:r>
      <w:r w:rsidR="002B70E2">
        <w:rPr>
          <w:rFonts w:cs="Times New Roman"/>
        </w:rPr>
        <w:t xml:space="preserve">. </w:t>
      </w:r>
      <w:r w:rsidR="00F27FC7">
        <w:rPr>
          <w:rFonts w:cs="Times New Roman"/>
        </w:rPr>
        <w:t>The Admin WG subsequently held an in-person working session on November 12</w:t>
      </w:r>
      <w:r w:rsidR="00C96F82" w:rsidRPr="00C96F82">
        <w:rPr>
          <w:rFonts w:cs="Times New Roman"/>
          <w:vertAlign w:val="superscript"/>
        </w:rPr>
        <w:t>th</w:t>
      </w:r>
      <w:r w:rsidR="00C96F82">
        <w:rPr>
          <w:rFonts w:cs="Times New Roman"/>
        </w:rPr>
        <w:t xml:space="preserve"> to prepare</w:t>
      </w:r>
      <w:r w:rsidR="002B70E2">
        <w:rPr>
          <w:rFonts w:cs="Times New Roman"/>
        </w:rPr>
        <w:t xml:space="preserve"> </w:t>
      </w:r>
      <w:r w:rsidR="00C96F82">
        <w:rPr>
          <w:rFonts w:cs="Times New Roman"/>
        </w:rPr>
        <w:t>this</w:t>
      </w:r>
      <w:r w:rsidR="002B70E2">
        <w:rPr>
          <w:rFonts w:cs="Times New Roman"/>
        </w:rPr>
        <w:t xml:space="preserve"> draft proposal</w:t>
      </w:r>
      <w:r w:rsidR="00C037F4">
        <w:rPr>
          <w:rFonts w:cs="Times New Roman"/>
        </w:rPr>
        <w:t xml:space="preserve"> to help structure the full ACCG’s discussion about how the ACCG intends to </w:t>
      </w:r>
      <w:r w:rsidR="005A0914">
        <w:rPr>
          <w:rFonts w:cs="Times New Roman"/>
        </w:rPr>
        <w:t>move forward. The below proposal outlines the primary goal and a suggested approach to increase the pace and scale of treatments on the ACCG landscape.</w:t>
      </w:r>
    </w:p>
    <w:p w14:paraId="45CD73C3" w14:textId="77777777" w:rsidR="002B70E2" w:rsidRDefault="002B70E2" w:rsidP="002B70E2">
      <w:pPr>
        <w:rPr>
          <w:rFonts w:cs="Times New Roman"/>
        </w:rPr>
      </w:pPr>
    </w:p>
    <w:p w14:paraId="75DECF1C" w14:textId="77777777" w:rsidR="002B70E2" w:rsidRDefault="001011E7" w:rsidP="00125C69">
      <w:pPr>
        <w:pStyle w:val="Heading2"/>
      </w:pPr>
      <w:r>
        <w:t>Goal Statement</w:t>
      </w:r>
    </w:p>
    <w:p w14:paraId="7FBC6C1D" w14:textId="77777777" w:rsidR="00B21CC4" w:rsidRDefault="00B21CC4" w:rsidP="00B21CC4">
      <w:pPr>
        <w:rPr>
          <w:rFonts w:eastAsia="Times New Roman" w:cs="Times New Roman"/>
          <w:color w:val="000000"/>
        </w:rPr>
      </w:pPr>
      <w:r>
        <w:rPr>
          <w:rFonts w:eastAsia="Times New Roman" w:cs="Times New Roman"/>
          <w:color w:val="000000"/>
        </w:rPr>
        <w:t xml:space="preserve">The ACCG </w:t>
      </w:r>
      <w:r w:rsidR="001011E7">
        <w:rPr>
          <w:rFonts w:eastAsia="Times New Roman" w:cs="Times New Roman"/>
          <w:color w:val="000000"/>
        </w:rPr>
        <w:t>will</w:t>
      </w:r>
      <w:r w:rsidR="002B70E2">
        <w:rPr>
          <w:rFonts w:eastAsia="Times New Roman" w:cs="Times New Roman"/>
          <w:color w:val="000000"/>
        </w:rPr>
        <w:t xml:space="preserve"> identify priority areas and strategies/approaches that represent the least controversial ways to increase pace and scale for the</w:t>
      </w:r>
      <w:r>
        <w:rPr>
          <w:rFonts w:eastAsia="Times New Roman" w:cs="Times New Roman"/>
          <w:color w:val="000000"/>
        </w:rPr>
        <w:t xml:space="preserve"> successful</w:t>
      </w:r>
      <w:r w:rsidR="002B70E2">
        <w:rPr>
          <w:rFonts w:eastAsia="Times New Roman" w:cs="Times New Roman"/>
          <w:color w:val="000000"/>
        </w:rPr>
        <w:t xml:space="preserve"> implementation of</w:t>
      </w:r>
      <w:r>
        <w:rPr>
          <w:rFonts w:eastAsia="Times New Roman" w:cs="Times New Roman"/>
          <w:color w:val="000000"/>
        </w:rPr>
        <w:t xml:space="preserve"> landscape-scale</w:t>
      </w:r>
      <w:r w:rsidR="002B70E2">
        <w:rPr>
          <w:rFonts w:eastAsia="Times New Roman" w:cs="Times New Roman"/>
          <w:color w:val="000000"/>
        </w:rPr>
        <w:t xml:space="preserve"> treatments</w:t>
      </w:r>
      <w:r w:rsidR="00741E4C">
        <w:rPr>
          <w:rFonts w:eastAsia="Times New Roman" w:cs="Times New Roman"/>
          <w:color w:val="000000"/>
        </w:rPr>
        <w:t xml:space="preserve"> </w:t>
      </w:r>
      <w:r w:rsidR="0038156C">
        <w:rPr>
          <w:rFonts w:eastAsia="Times New Roman" w:cs="Times New Roman"/>
          <w:color w:val="000000"/>
        </w:rPr>
        <w:t>across jurisdictions within the ACCG’s boundaries.</w:t>
      </w:r>
    </w:p>
    <w:p w14:paraId="7A8C99FB" w14:textId="77777777" w:rsidR="00A556CC" w:rsidRDefault="00A556CC" w:rsidP="00A359F3"/>
    <w:p w14:paraId="7EFC1F5A" w14:textId="77777777" w:rsidR="00B21CC4" w:rsidRPr="00A359F3" w:rsidRDefault="006A4643" w:rsidP="00A556CC">
      <w:pPr>
        <w:pStyle w:val="Heading2"/>
        <w:rPr>
          <w:rFonts w:eastAsia="Times New Roman" w:cs="Times New Roman"/>
          <w:color w:val="000000"/>
        </w:rPr>
      </w:pPr>
      <w:r>
        <w:rPr>
          <w:rFonts w:eastAsia="Times New Roman"/>
        </w:rPr>
        <w:t>Approach</w:t>
      </w:r>
    </w:p>
    <w:p w14:paraId="580E0352" w14:textId="77777777" w:rsidR="00321C9E" w:rsidRDefault="006A4643" w:rsidP="00B21CC4">
      <w:pPr>
        <w:rPr>
          <w:rFonts w:eastAsia="Times New Roman" w:cs="Times New Roman"/>
          <w:color w:val="000000"/>
        </w:rPr>
      </w:pPr>
      <w:r>
        <w:rPr>
          <w:rFonts w:eastAsia="Times New Roman" w:cs="Times New Roman"/>
          <w:color w:val="000000"/>
        </w:rPr>
        <w:t>The Admin WG articulated a stepwise approach to achieving this goal</w:t>
      </w:r>
      <w:r w:rsidR="0097601B">
        <w:rPr>
          <w:rFonts w:eastAsia="Times New Roman" w:cs="Times New Roman"/>
          <w:color w:val="000000"/>
        </w:rPr>
        <w:t xml:space="preserve">. </w:t>
      </w:r>
    </w:p>
    <w:p w14:paraId="2CA245CB" w14:textId="1549472A" w:rsidR="00321C9E" w:rsidRDefault="00F00618" w:rsidP="006A4643">
      <w:pPr>
        <w:pStyle w:val="ListParagraph"/>
        <w:numPr>
          <w:ilvl w:val="0"/>
          <w:numId w:val="2"/>
        </w:numPr>
        <w:rPr>
          <w:rFonts w:eastAsia="Times New Roman" w:cs="Times New Roman"/>
          <w:color w:val="000000"/>
        </w:rPr>
      </w:pPr>
      <w:r>
        <w:rPr>
          <w:rFonts w:eastAsia="Times New Roman" w:cs="Times New Roman"/>
          <w:b/>
          <w:color w:val="000000"/>
        </w:rPr>
        <w:t>STEP 1</w:t>
      </w:r>
      <w:r w:rsidR="006A4643" w:rsidRPr="00887537">
        <w:rPr>
          <w:rFonts w:eastAsia="Times New Roman" w:cs="Times New Roman"/>
          <w:b/>
          <w:color w:val="000000"/>
        </w:rPr>
        <w:t>:</w:t>
      </w:r>
      <w:r w:rsidR="006A4643">
        <w:rPr>
          <w:rFonts w:eastAsia="Times New Roman" w:cs="Times New Roman"/>
          <w:color w:val="000000"/>
        </w:rPr>
        <w:t xml:space="preserve"> </w:t>
      </w:r>
      <w:r w:rsidR="00321C9E" w:rsidRPr="00321C9E">
        <w:rPr>
          <w:rFonts w:eastAsia="Times New Roman" w:cs="Times New Roman"/>
          <w:b/>
          <w:color w:val="000000"/>
        </w:rPr>
        <w:t xml:space="preserve">Develop </w:t>
      </w:r>
      <w:r w:rsidR="0037365D">
        <w:rPr>
          <w:rFonts w:eastAsia="Times New Roman" w:cs="Times New Roman"/>
          <w:b/>
          <w:color w:val="000000"/>
        </w:rPr>
        <w:t>e</w:t>
      </w:r>
      <w:r w:rsidR="00321C9E" w:rsidRPr="00321C9E">
        <w:rPr>
          <w:rFonts w:eastAsia="Times New Roman" w:cs="Times New Roman"/>
          <w:b/>
          <w:color w:val="000000"/>
        </w:rPr>
        <w:t xml:space="preserve">ssential </w:t>
      </w:r>
      <w:r w:rsidR="0037365D">
        <w:rPr>
          <w:rFonts w:eastAsia="Times New Roman" w:cs="Times New Roman"/>
          <w:b/>
          <w:color w:val="000000"/>
        </w:rPr>
        <w:t>t</w:t>
      </w:r>
      <w:r w:rsidR="00321C9E" w:rsidRPr="00321C9E">
        <w:rPr>
          <w:rFonts w:eastAsia="Times New Roman" w:cs="Times New Roman"/>
          <w:b/>
          <w:color w:val="000000"/>
        </w:rPr>
        <w:t xml:space="preserve">ools </w:t>
      </w:r>
      <w:r w:rsidR="0037365D">
        <w:rPr>
          <w:rFonts w:eastAsia="Times New Roman" w:cs="Times New Roman"/>
          <w:b/>
          <w:color w:val="000000"/>
        </w:rPr>
        <w:t>for</w:t>
      </w:r>
      <w:r w:rsidR="00321C9E" w:rsidRPr="00321C9E">
        <w:rPr>
          <w:rFonts w:eastAsia="Times New Roman" w:cs="Times New Roman"/>
          <w:b/>
          <w:color w:val="000000"/>
        </w:rPr>
        <w:t xml:space="preserve"> identify</w:t>
      </w:r>
      <w:r w:rsidR="0037365D">
        <w:rPr>
          <w:rFonts w:eastAsia="Times New Roman" w:cs="Times New Roman"/>
          <w:b/>
          <w:color w:val="000000"/>
        </w:rPr>
        <w:t>ing</w:t>
      </w:r>
      <w:r w:rsidR="00321C9E" w:rsidRPr="00321C9E">
        <w:rPr>
          <w:rFonts w:eastAsia="Times New Roman" w:cs="Times New Roman"/>
          <w:b/>
          <w:color w:val="000000"/>
        </w:rPr>
        <w:t xml:space="preserve"> priority areas</w:t>
      </w:r>
      <w:r w:rsidR="005A0914">
        <w:rPr>
          <w:rFonts w:eastAsia="Times New Roman" w:cs="Times New Roman"/>
          <w:b/>
          <w:color w:val="000000"/>
        </w:rPr>
        <w:t xml:space="preserve">, </w:t>
      </w:r>
      <w:r w:rsidR="0037365D">
        <w:rPr>
          <w:rFonts w:eastAsia="Times New Roman" w:cs="Times New Roman"/>
          <w:b/>
          <w:color w:val="000000"/>
        </w:rPr>
        <w:t>a</w:t>
      </w:r>
      <w:r w:rsidR="00321C9E" w:rsidRPr="00321C9E">
        <w:rPr>
          <w:rFonts w:eastAsia="Times New Roman" w:cs="Times New Roman"/>
          <w:b/>
          <w:color w:val="000000"/>
        </w:rPr>
        <w:t xml:space="preserve"> range of </w:t>
      </w:r>
      <w:r w:rsidR="000C419C">
        <w:rPr>
          <w:rFonts w:eastAsia="Times New Roman" w:cs="Times New Roman"/>
          <w:b/>
          <w:color w:val="000000"/>
        </w:rPr>
        <w:t xml:space="preserve">possible </w:t>
      </w:r>
      <w:r w:rsidR="00321C9E" w:rsidRPr="00321C9E">
        <w:rPr>
          <w:rFonts w:eastAsia="Times New Roman" w:cs="Times New Roman"/>
          <w:b/>
          <w:color w:val="000000"/>
        </w:rPr>
        <w:t>treatments, and minimiz</w:t>
      </w:r>
      <w:r w:rsidR="0037365D">
        <w:rPr>
          <w:rFonts w:eastAsia="Times New Roman" w:cs="Times New Roman"/>
          <w:b/>
          <w:color w:val="000000"/>
        </w:rPr>
        <w:t>ing</w:t>
      </w:r>
      <w:r w:rsidR="00321C9E" w:rsidRPr="00321C9E">
        <w:rPr>
          <w:rFonts w:eastAsia="Times New Roman" w:cs="Times New Roman"/>
          <w:b/>
          <w:color w:val="000000"/>
        </w:rPr>
        <w:t xml:space="preserve"> controversy</w:t>
      </w:r>
    </w:p>
    <w:p w14:paraId="685C50E3" w14:textId="2157C8E5" w:rsidR="006A4643" w:rsidRPr="006A4643" w:rsidRDefault="00321C9E" w:rsidP="00321C9E">
      <w:pPr>
        <w:pStyle w:val="ListParagraph"/>
        <w:numPr>
          <w:ilvl w:val="1"/>
          <w:numId w:val="2"/>
        </w:numPr>
        <w:rPr>
          <w:rFonts w:eastAsia="Times New Roman" w:cs="Times New Roman"/>
          <w:color w:val="000000"/>
        </w:rPr>
      </w:pPr>
      <w:r>
        <w:rPr>
          <w:rFonts w:eastAsia="Times New Roman" w:cs="Times New Roman"/>
          <w:b/>
          <w:color w:val="000000"/>
        </w:rPr>
        <w:t xml:space="preserve">Project Support Evaluation Tool: </w:t>
      </w:r>
      <w:r>
        <w:rPr>
          <w:rFonts w:eastAsia="Times New Roman" w:cs="Times New Roman"/>
          <w:color w:val="000000"/>
        </w:rPr>
        <w:t xml:space="preserve">The </w:t>
      </w:r>
      <w:r w:rsidR="00BA7066">
        <w:rPr>
          <w:rFonts w:eastAsia="Times New Roman" w:cs="Times New Roman"/>
          <w:color w:val="000000"/>
        </w:rPr>
        <w:t xml:space="preserve">Planning Work Group </w:t>
      </w:r>
      <w:r>
        <w:rPr>
          <w:rFonts w:eastAsia="Times New Roman" w:cs="Times New Roman"/>
          <w:color w:val="000000"/>
        </w:rPr>
        <w:t xml:space="preserve">will </w:t>
      </w:r>
      <w:r w:rsidR="00BA7066">
        <w:rPr>
          <w:rFonts w:eastAsia="Times New Roman" w:cs="Times New Roman"/>
          <w:color w:val="000000"/>
        </w:rPr>
        <w:t>c</w:t>
      </w:r>
      <w:r w:rsidR="006A4643">
        <w:rPr>
          <w:rFonts w:eastAsia="Times New Roman" w:cs="Times New Roman"/>
          <w:color w:val="000000"/>
        </w:rPr>
        <w:t xml:space="preserve">omplete the </w:t>
      </w:r>
      <w:r>
        <w:rPr>
          <w:rFonts w:eastAsia="Times New Roman" w:cs="Times New Roman"/>
          <w:color w:val="000000"/>
        </w:rPr>
        <w:t xml:space="preserve">draft </w:t>
      </w:r>
      <w:r w:rsidR="006A4643" w:rsidRPr="00321C9E">
        <w:rPr>
          <w:rFonts w:eastAsia="Times New Roman" w:cs="Times New Roman"/>
          <w:color w:val="000000"/>
        </w:rPr>
        <w:t>Project Support Evaluation Tool</w:t>
      </w:r>
      <w:r w:rsidR="006A4643">
        <w:rPr>
          <w:rFonts w:eastAsia="Times New Roman" w:cs="Times New Roman"/>
          <w:color w:val="000000"/>
        </w:rPr>
        <w:t xml:space="preserve"> </w:t>
      </w:r>
      <w:r w:rsidR="006A4643" w:rsidRPr="006A4643">
        <w:rPr>
          <w:rFonts w:eastAsia="Times New Roman" w:cstheme="minorHAnsi"/>
          <w:color w:val="000000"/>
        </w:rPr>
        <w:t>describ</w:t>
      </w:r>
      <w:r w:rsidR="006A4643">
        <w:rPr>
          <w:rFonts w:eastAsia="Times New Roman" w:cstheme="minorHAnsi"/>
          <w:color w:val="000000"/>
        </w:rPr>
        <w:t>ing</w:t>
      </w:r>
      <w:r w:rsidR="006A4643" w:rsidRPr="006A4643">
        <w:rPr>
          <w:rFonts w:eastAsia="Times New Roman" w:cstheme="minorHAnsi"/>
          <w:color w:val="000000"/>
        </w:rPr>
        <w:t xml:space="preserve"> and distinguish</w:t>
      </w:r>
      <w:r w:rsidR="0001293E">
        <w:rPr>
          <w:rFonts w:eastAsia="Times New Roman" w:cstheme="minorHAnsi"/>
          <w:color w:val="000000"/>
        </w:rPr>
        <w:t>ing</w:t>
      </w:r>
      <w:r w:rsidR="006A4643" w:rsidRPr="006A4643">
        <w:rPr>
          <w:rFonts w:eastAsia="Times New Roman" w:cstheme="minorHAnsi"/>
          <w:color w:val="000000"/>
        </w:rPr>
        <w:t xml:space="preserve"> among categories of project activities proposed in the ACCG landscape to help project proponents anticipate the level of potential controversy associated with </w:t>
      </w:r>
      <w:r w:rsidR="006A4643" w:rsidRPr="006A4643">
        <w:rPr>
          <w:rFonts w:eastAsia="Times New Roman" w:cstheme="minorHAnsi"/>
          <w:color w:val="000000"/>
        </w:rPr>
        <w:lastRenderedPageBreak/>
        <w:t xml:space="preserve">proposed projects </w:t>
      </w:r>
      <w:r w:rsidR="005E4657">
        <w:rPr>
          <w:rFonts w:eastAsia="Times New Roman" w:cstheme="minorHAnsi"/>
          <w:color w:val="000000"/>
        </w:rPr>
        <w:t>and aid project planning</w:t>
      </w:r>
      <w:r w:rsidR="006A4643" w:rsidRPr="006A4643">
        <w:rPr>
          <w:rFonts w:eastAsia="Times New Roman" w:cstheme="minorHAnsi"/>
          <w:color w:val="000000"/>
        </w:rPr>
        <w:t xml:space="preserve">. </w:t>
      </w:r>
      <w:r w:rsidR="0001293E">
        <w:rPr>
          <w:rFonts w:eastAsia="Times New Roman" w:cstheme="minorHAnsi"/>
          <w:color w:val="000000"/>
        </w:rPr>
        <w:t>The Project Support Evaluation Tool also specifies protocols to help expedite project implementation.</w:t>
      </w:r>
      <w:r w:rsidR="00E21B0F">
        <w:rPr>
          <w:rFonts w:eastAsia="Times New Roman" w:cstheme="minorHAnsi"/>
          <w:color w:val="000000"/>
        </w:rPr>
        <w:t xml:space="preserve"> </w:t>
      </w:r>
    </w:p>
    <w:p w14:paraId="389813FE" w14:textId="77777777" w:rsidR="006A4643" w:rsidRDefault="00A700B9" w:rsidP="00321C9E">
      <w:pPr>
        <w:pStyle w:val="ListParagraph"/>
        <w:numPr>
          <w:ilvl w:val="2"/>
          <w:numId w:val="2"/>
        </w:numPr>
        <w:rPr>
          <w:rFonts w:eastAsia="Times New Roman" w:cs="Times New Roman"/>
          <w:color w:val="000000"/>
        </w:rPr>
      </w:pPr>
      <w:r>
        <w:rPr>
          <w:rFonts w:eastAsia="Times New Roman" w:cs="Times New Roman"/>
          <w:b/>
          <w:color w:val="000000"/>
        </w:rPr>
        <w:t>A</w:t>
      </w:r>
      <w:r w:rsidR="004B68B4" w:rsidRPr="0001293E">
        <w:rPr>
          <w:rFonts w:eastAsia="Times New Roman" w:cs="Times New Roman"/>
          <w:b/>
          <w:color w:val="000000"/>
        </w:rPr>
        <w:t xml:space="preserve">nticipated </w:t>
      </w:r>
      <w:r>
        <w:rPr>
          <w:rFonts w:eastAsia="Times New Roman" w:cs="Times New Roman"/>
          <w:b/>
          <w:color w:val="000000"/>
        </w:rPr>
        <w:t>C</w:t>
      </w:r>
      <w:r w:rsidR="004B68B4" w:rsidRPr="0001293E">
        <w:rPr>
          <w:rFonts w:eastAsia="Times New Roman" w:cs="Times New Roman"/>
          <w:b/>
          <w:color w:val="000000"/>
        </w:rPr>
        <w:t>ompletion</w:t>
      </w:r>
      <w:r w:rsidR="006A4643" w:rsidRPr="0001293E">
        <w:rPr>
          <w:rFonts w:eastAsia="Times New Roman" w:cs="Times New Roman"/>
          <w:b/>
          <w:color w:val="000000"/>
        </w:rPr>
        <w:t>:</w:t>
      </w:r>
      <w:r w:rsidR="006A4643">
        <w:rPr>
          <w:rFonts w:eastAsia="Times New Roman" w:cs="Times New Roman"/>
          <w:color w:val="000000"/>
        </w:rPr>
        <w:t xml:space="preserve"> </w:t>
      </w:r>
      <w:r w:rsidR="00BA7066">
        <w:rPr>
          <w:rFonts w:eastAsia="Times New Roman" w:cs="Times New Roman"/>
          <w:color w:val="000000"/>
        </w:rPr>
        <w:t>The Planning Work Group will bring the Project Support Evaluation Tool to the full ACCG for discussion and refinement at the November 20</w:t>
      </w:r>
      <w:r w:rsidR="00BA7066" w:rsidRPr="00BA7066">
        <w:rPr>
          <w:rFonts w:eastAsia="Times New Roman" w:cs="Times New Roman"/>
          <w:color w:val="000000"/>
          <w:vertAlign w:val="superscript"/>
        </w:rPr>
        <w:t>th</w:t>
      </w:r>
      <w:r w:rsidR="00BA7066">
        <w:rPr>
          <w:rFonts w:eastAsia="Times New Roman" w:cs="Times New Roman"/>
          <w:color w:val="000000"/>
        </w:rPr>
        <w:t xml:space="preserve"> General Meeting. The tool will be finalized in December following that meeting.</w:t>
      </w:r>
      <w:r w:rsidR="00741E4C">
        <w:rPr>
          <w:rFonts w:eastAsia="Times New Roman" w:cs="Times New Roman"/>
          <w:color w:val="000000"/>
        </w:rPr>
        <w:t xml:space="preserve"> At the January ACCG General Meeting, the ACCG will discuss and refine the complete project development and approval process</w:t>
      </w:r>
      <w:r w:rsidR="005A0914">
        <w:rPr>
          <w:rFonts w:eastAsia="Times New Roman" w:cs="Times New Roman"/>
          <w:color w:val="000000"/>
        </w:rPr>
        <w:t xml:space="preserve"> package</w:t>
      </w:r>
      <w:r w:rsidR="00741E4C">
        <w:rPr>
          <w:rFonts w:eastAsia="Times New Roman" w:cs="Times New Roman"/>
          <w:color w:val="000000"/>
        </w:rPr>
        <w:t>.</w:t>
      </w:r>
    </w:p>
    <w:p w14:paraId="3D43D6F5" w14:textId="3FC2CE03" w:rsidR="005277F8" w:rsidRPr="005277F8" w:rsidRDefault="0068432D" w:rsidP="00321C9E">
      <w:pPr>
        <w:pStyle w:val="ListParagraph"/>
        <w:numPr>
          <w:ilvl w:val="1"/>
          <w:numId w:val="2"/>
        </w:numPr>
        <w:rPr>
          <w:rFonts w:eastAsia="Times New Roman" w:cs="Times New Roman"/>
          <w:color w:val="000000"/>
        </w:rPr>
      </w:pPr>
      <w:r>
        <w:rPr>
          <w:noProof/>
        </w:rPr>
        <w:drawing>
          <wp:anchor distT="0" distB="0" distL="114300" distR="114300" simplePos="0" relativeHeight="251658240" behindDoc="0" locked="0" layoutInCell="1" allowOverlap="1" wp14:anchorId="61F55B54" wp14:editId="1A6362FA">
            <wp:simplePos x="0" y="0"/>
            <wp:positionH relativeFrom="margin">
              <wp:posOffset>0</wp:posOffset>
            </wp:positionH>
            <wp:positionV relativeFrom="margin">
              <wp:posOffset>2542540</wp:posOffset>
            </wp:positionV>
            <wp:extent cx="2878455" cy="5404485"/>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sidR="00321C9E">
        <w:rPr>
          <w:rFonts w:eastAsia="Times New Roman" w:cs="Times New Roman"/>
          <w:b/>
          <w:color w:val="000000"/>
        </w:rPr>
        <w:t>Mapping Workshop</w:t>
      </w:r>
      <w:r w:rsidR="006A4643" w:rsidRPr="00887537">
        <w:rPr>
          <w:rFonts w:eastAsia="Times New Roman" w:cs="Times New Roman"/>
          <w:b/>
          <w:color w:val="000000"/>
        </w:rPr>
        <w:t>:</w:t>
      </w:r>
      <w:r w:rsidR="006A4643" w:rsidRPr="00EB4F93">
        <w:rPr>
          <w:rFonts w:eastAsia="Times New Roman" w:cs="Times New Roman"/>
          <w:color w:val="000000"/>
        </w:rPr>
        <w:t xml:space="preserve"> Hold a </w:t>
      </w:r>
      <w:r w:rsidR="006A4643" w:rsidRPr="0035095C">
        <w:rPr>
          <w:rFonts w:eastAsia="Times New Roman" w:cs="Times New Roman"/>
          <w:b/>
          <w:color w:val="000000"/>
        </w:rPr>
        <w:t>half day</w:t>
      </w:r>
      <w:r w:rsidR="00565AD2" w:rsidRPr="0035095C">
        <w:rPr>
          <w:rFonts w:eastAsia="Times New Roman" w:cs="Times New Roman"/>
          <w:b/>
          <w:color w:val="000000"/>
        </w:rPr>
        <w:t xml:space="preserve"> mapping</w:t>
      </w:r>
      <w:r w:rsidR="006A4643" w:rsidRPr="0035095C">
        <w:rPr>
          <w:rFonts w:eastAsia="Times New Roman" w:cs="Times New Roman"/>
          <w:b/>
          <w:color w:val="000000"/>
        </w:rPr>
        <w:t xml:space="preserve"> workshop</w:t>
      </w:r>
      <w:r w:rsidR="007F45CA" w:rsidRPr="0035095C">
        <w:rPr>
          <w:rFonts w:eastAsia="Times New Roman" w:cs="Times New Roman"/>
          <w:b/>
          <w:color w:val="000000"/>
        </w:rPr>
        <w:t xml:space="preserve"> on </w:t>
      </w:r>
      <w:r w:rsidR="00FA351F">
        <w:rPr>
          <w:rFonts w:eastAsia="Times New Roman" w:cs="Times New Roman"/>
          <w:b/>
          <w:color w:val="000000"/>
        </w:rPr>
        <w:t xml:space="preserve">Wednesday, </w:t>
      </w:r>
      <w:r w:rsidR="007F45CA" w:rsidRPr="0035095C">
        <w:rPr>
          <w:rFonts w:eastAsia="Times New Roman" w:cs="Times New Roman"/>
          <w:b/>
          <w:color w:val="000000"/>
        </w:rPr>
        <w:t>December 11</w:t>
      </w:r>
      <w:r w:rsidR="007F45CA" w:rsidRPr="0035095C">
        <w:rPr>
          <w:rFonts w:eastAsia="Times New Roman" w:cs="Times New Roman"/>
          <w:b/>
          <w:color w:val="000000"/>
          <w:vertAlign w:val="superscript"/>
        </w:rPr>
        <w:t>th</w:t>
      </w:r>
      <w:r w:rsidR="007F45CA" w:rsidRPr="00EB4F93">
        <w:rPr>
          <w:rFonts w:eastAsia="Times New Roman" w:cs="Times New Roman"/>
          <w:color w:val="000000"/>
        </w:rPr>
        <w:t xml:space="preserve"> </w:t>
      </w:r>
      <w:r w:rsidR="006A4643" w:rsidRPr="00EB4F93">
        <w:rPr>
          <w:rFonts w:eastAsia="Times New Roman" w:cs="Times New Roman"/>
          <w:color w:val="000000"/>
        </w:rPr>
        <w:t>jointly convened by the Monitoring Work Group and the SLAWG</w:t>
      </w:r>
      <w:r w:rsidR="00FA351F">
        <w:rPr>
          <w:rFonts w:eastAsia="Times New Roman" w:cs="Times New Roman"/>
          <w:color w:val="000000"/>
        </w:rPr>
        <w:t>,</w:t>
      </w:r>
      <w:r w:rsidR="006A4643" w:rsidRPr="00EB4F93">
        <w:rPr>
          <w:rFonts w:eastAsia="Times New Roman" w:cs="Times New Roman"/>
          <w:color w:val="000000"/>
        </w:rPr>
        <w:t xml:space="preserve"> </w:t>
      </w:r>
      <w:r w:rsidR="00565AD2" w:rsidRPr="00EB4F93">
        <w:rPr>
          <w:rFonts w:eastAsia="Times New Roman" w:cs="Times New Roman"/>
          <w:color w:val="000000"/>
        </w:rPr>
        <w:t xml:space="preserve">inviting </w:t>
      </w:r>
      <w:r w:rsidR="00EB4F93">
        <w:rPr>
          <w:rFonts w:eastAsia="Times New Roman" w:cs="Times New Roman"/>
          <w:color w:val="000000"/>
        </w:rPr>
        <w:t>ACCG members</w:t>
      </w:r>
      <w:r w:rsidR="00565AD2" w:rsidRPr="00EB4F93">
        <w:rPr>
          <w:rFonts w:eastAsia="Times New Roman" w:cs="Times New Roman"/>
          <w:color w:val="000000"/>
        </w:rPr>
        <w:t xml:space="preserve"> to</w:t>
      </w:r>
      <w:r w:rsidR="00C515A7">
        <w:rPr>
          <w:rFonts w:eastAsia="Times New Roman" w:cs="Times New Roman"/>
          <w:color w:val="000000"/>
        </w:rPr>
        <w:t xml:space="preserve"> map </w:t>
      </w:r>
      <w:r w:rsidR="00C515A7" w:rsidRPr="00E94EED">
        <w:rPr>
          <w:rFonts w:eastAsia="Times New Roman" w:cs="Times New Roman"/>
          <w:color w:val="000000"/>
        </w:rPr>
        <w:t xml:space="preserve">completed projects, NEPA and CEQA ready projects, </w:t>
      </w:r>
      <w:r w:rsidR="00C515A7">
        <w:rPr>
          <w:rFonts w:eastAsia="Times New Roman" w:cs="Times New Roman"/>
          <w:color w:val="000000"/>
        </w:rPr>
        <w:t>f</w:t>
      </w:r>
      <w:r w:rsidR="00C515A7" w:rsidRPr="00E94EED">
        <w:rPr>
          <w:rFonts w:eastAsia="Times New Roman" w:cs="Times New Roman"/>
          <w:color w:val="000000"/>
        </w:rPr>
        <w:t>unded projects, and proposed projects within the ACCG</w:t>
      </w:r>
      <w:r w:rsidR="000C531C">
        <w:rPr>
          <w:rFonts w:eastAsia="Times New Roman" w:cs="Times New Roman"/>
          <w:color w:val="000000"/>
        </w:rPr>
        <w:t xml:space="preserve"> boundaries</w:t>
      </w:r>
      <w:r w:rsidR="00565AD2" w:rsidRPr="00EB4F93">
        <w:rPr>
          <w:rFonts w:eastAsia="Times New Roman" w:cs="Times New Roman"/>
          <w:color w:val="000000"/>
        </w:rPr>
        <w:t xml:space="preserve"> </w:t>
      </w:r>
      <w:r w:rsidR="00EB4F93" w:rsidRPr="00EB4F93">
        <w:rPr>
          <w:rFonts w:eastAsia="Times New Roman" w:cs="Times New Roman"/>
          <w:color w:val="000000"/>
        </w:rPr>
        <w:t>that identify ACCG member priorities</w:t>
      </w:r>
      <w:r w:rsidR="00EB4F93">
        <w:rPr>
          <w:rFonts w:eastAsia="Times New Roman" w:cs="Times New Roman"/>
          <w:color w:val="000000"/>
        </w:rPr>
        <w:t xml:space="preserve">, </w:t>
      </w:r>
      <w:r w:rsidR="00FA351F">
        <w:rPr>
          <w:rFonts w:eastAsia="Times New Roman" w:cs="Times New Roman"/>
          <w:color w:val="000000"/>
        </w:rPr>
        <w:t xml:space="preserve">as well as areas of concern such as critical wildlife habitat, areas of special cultural resource sensitivity, areas with special designations/protections (wilderness, roadless areas, </w:t>
      </w:r>
      <w:r w:rsidR="00EA73CD">
        <w:rPr>
          <w:rFonts w:eastAsia="Times New Roman" w:cs="Times New Roman"/>
          <w:color w:val="000000"/>
        </w:rPr>
        <w:t xml:space="preserve">archaeological districts, </w:t>
      </w:r>
      <w:r w:rsidR="00FA351F">
        <w:rPr>
          <w:rFonts w:eastAsia="Times New Roman" w:cs="Times New Roman"/>
          <w:color w:val="000000"/>
        </w:rPr>
        <w:t xml:space="preserve">wild and scenic rivers, </w:t>
      </w:r>
      <w:r w:rsidR="00EA73CD">
        <w:rPr>
          <w:rFonts w:eastAsia="Times New Roman" w:cs="Times New Roman"/>
          <w:color w:val="000000"/>
        </w:rPr>
        <w:t xml:space="preserve">vulnerable communities and infrastructure, </w:t>
      </w:r>
      <w:r w:rsidR="00FA351F">
        <w:rPr>
          <w:rFonts w:eastAsia="Times New Roman" w:cs="Times New Roman"/>
          <w:color w:val="000000"/>
        </w:rPr>
        <w:t xml:space="preserve">etc), and </w:t>
      </w:r>
      <w:r w:rsidR="00EB4F93">
        <w:rPr>
          <w:rFonts w:eastAsia="Times New Roman" w:cs="Times New Roman"/>
          <w:color w:val="000000"/>
        </w:rPr>
        <w:t>work toward the above goal and the ACCG’s triple bottom-line mission.</w:t>
      </w:r>
      <w:r w:rsidR="00AE1066">
        <w:rPr>
          <w:rFonts w:eastAsia="Times New Roman" w:cs="Times New Roman"/>
          <w:color w:val="000000"/>
        </w:rPr>
        <w:t xml:space="preserve"> </w:t>
      </w:r>
      <w:r w:rsidR="00EB4F93">
        <w:rPr>
          <w:rFonts w:eastAsia="Times New Roman" w:cs="Times New Roman"/>
          <w:color w:val="000000"/>
        </w:rPr>
        <w:t xml:space="preserve"> </w:t>
      </w:r>
      <w:r w:rsidR="00EB4F93" w:rsidRPr="002E0119">
        <w:rPr>
          <w:rFonts w:eastAsia="Times New Roman" w:cs="Times New Roman"/>
          <w:b/>
          <w:color w:val="000000"/>
        </w:rPr>
        <w:t>Holiday refreshments included</w:t>
      </w:r>
      <w:r w:rsidR="00EB4F93" w:rsidRPr="002E0119">
        <w:rPr>
          <w:rFonts w:eastAsia="Times New Roman" w:cs="Times New Roman"/>
          <w:b/>
          <w:color w:val="000000"/>
        </w:rPr>
        <w:sym w:font="Wingdings" w:char="F04A"/>
      </w:r>
      <w:r w:rsidR="00EB4F93" w:rsidRPr="002E0119">
        <w:rPr>
          <w:rFonts w:eastAsia="Times New Roman" w:cs="Times New Roman"/>
          <w:b/>
          <w:color w:val="000000"/>
        </w:rPr>
        <w:t xml:space="preserve">! </w:t>
      </w:r>
    </w:p>
    <w:p w14:paraId="6E9A4D1E" w14:textId="77777777" w:rsidR="006A4643" w:rsidRDefault="00321C9E" w:rsidP="005277F8">
      <w:pPr>
        <w:pStyle w:val="ListParagraph"/>
        <w:ind w:left="1440"/>
        <w:rPr>
          <w:rFonts w:eastAsia="Times New Roman" w:cs="Times New Roman"/>
          <w:color w:val="000000"/>
        </w:rPr>
      </w:pPr>
      <w:r>
        <w:rPr>
          <w:rFonts w:eastAsia="Times New Roman" w:cs="Times New Roman"/>
          <w:color w:val="000000"/>
        </w:rPr>
        <w:t>Additionally, t</w:t>
      </w:r>
      <w:r w:rsidR="00887537" w:rsidRPr="00125C69">
        <w:rPr>
          <w:rFonts w:eastAsia="Times New Roman" w:cs="Times New Roman"/>
          <w:color w:val="000000"/>
        </w:rPr>
        <w:t xml:space="preserve">he SLAWG is </w:t>
      </w:r>
      <w:r w:rsidR="00AE1066" w:rsidRPr="00125C69">
        <w:rPr>
          <w:rFonts w:eastAsia="Times New Roman" w:cs="Times New Roman"/>
          <w:color w:val="000000"/>
        </w:rPr>
        <w:t>in the process of</w:t>
      </w:r>
      <w:r w:rsidR="00887537" w:rsidRPr="00125C69">
        <w:rPr>
          <w:rFonts w:eastAsia="Times New Roman" w:cs="Times New Roman"/>
          <w:color w:val="000000"/>
        </w:rPr>
        <w:t xml:space="preserve"> submitting a proposal to the </w:t>
      </w:r>
      <w:r w:rsidR="00653A35" w:rsidRPr="00125C69">
        <w:rPr>
          <w:rFonts w:eastAsia="Times New Roman" w:cs="Times New Roman"/>
          <w:color w:val="000000"/>
        </w:rPr>
        <w:t>Sierra Nevada Conservancy to support the development of a mapping tool</w:t>
      </w:r>
      <w:r w:rsidR="005277F8">
        <w:rPr>
          <w:rFonts w:eastAsia="Times New Roman" w:cs="Times New Roman"/>
          <w:color w:val="000000"/>
        </w:rPr>
        <w:t>.</w:t>
      </w:r>
    </w:p>
    <w:p w14:paraId="308D691E" w14:textId="140E046F" w:rsidR="00A1675B" w:rsidRPr="00F14FBF" w:rsidRDefault="00A1675B" w:rsidP="00A1675B">
      <w:pPr>
        <w:pStyle w:val="ListParagraph"/>
        <w:numPr>
          <w:ilvl w:val="2"/>
          <w:numId w:val="2"/>
        </w:numPr>
        <w:rPr>
          <w:rFonts w:eastAsia="Times New Roman" w:cs="Times New Roman"/>
          <w:color w:val="000000"/>
        </w:rPr>
      </w:pPr>
      <w:r>
        <w:rPr>
          <w:rFonts w:eastAsia="Times New Roman" w:cs="Times New Roman"/>
          <w:b/>
          <w:color w:val="000000"/>
        </w:rPr>
        <w:t xml:space="preserve">Key </w:t>
      </w:r>
      <w:r w:rsidR="00F14FBF">
        <w:rPr>
          <w:rFonts w:eastAsia="Times New Roman" w:cs="Times New Roman"/>
          <w:b/>
          <w:color w:val="000000"/>
        </w:rPr>
        <w:t>Mapping Workshop Participants</w:t>
      </w:r>
      <w:r w:rsidR="00FA351F">
        <w:rPr>
          <w:rFonts w:eastAsia="Times New Roman" w:cs="Times New Roman"/>
          <w:b/>
          <w:color w:val="000000"/>
        </w:rPr>
        <w:t xml:space="preserve"> in addition to regular ACCG participants</w:t>
      </w:r>
      <w:r w:rsidR="00F14FBF">
        <w:rPr>
          <w:rFonts w:eastAsia="Times New Roman" w:cs="Times New Roman"/>
          <w:b/>
          <w:color w:val="000000"/>
        </w:rPr>
        <w:t>:</w:t>
      </w:r>
      <w:r w:rsidR="000C531C">
        <w:rPr>
          <w:rFonts w:eastAsia="Times New Roman" w:cs="Times New Roman"/>
          <w:b/>
          <w:color w:val="000000"/>
        </w:rPr>
        <w:t xml:space="preserve"> </w:t>
      </w:r>
    </w:p>
    <w:p w14:paraId="3C06690F" w14:textId="77777777" w:rsidR="00F14FBF" w:rsidRDefault="00D05DD0" w:rsidP="00F14FBF">
      <w:pPr>
        <w:pStyle w:val="ListParagraph"/>
        <w:numPr>
          <w:ilvl w:val="3"/>
          <w:numId w:val="2"/>
        </w:numPr>
        <w:rPr>
          <w:rFonts w:eastAsia="Times New Roman" w:cs="Times New Roman"/>
          <w:color w:val="000000"/>
        </w:rPr>
      </w:pPr>
      <w:r>
        <w:rPr>
          <w:rFonts w:eastAsia="Times New Roman" w:cs="Times New Roman"/>
          <w:color w:val="000000"/>
        </w:rPr>
        <w:t>CalFire</w:t>
      </w:r>
    </w:p>
    <w:p w14:paraId="5CF93106" w14:textId="77777777" w:rsidR="00D05DD0" w:rsidRDefault="00D05DD0" w:rsidP="00F14FBF">
      <w:pPr>
        <w:pStyle w:val="ListParagraph"/>
        <w:numPr>
          <w:ilvl w:val="3"/>
          <w:numId w:val="2"/>
        </w:numPr>
        <w:rPr>
          <w:rFonts w:eastAsia="Times New Roman" w:cs="Times New Roman"/>
          <w:color w:val="000000"/>
        </w:rPr>
      </w:pPr>
      <w:r>
        <w:rPr>
          <w:rFonts w:eastAsia="Times New Roman" w:cs="Times New Roman"/>
          <w:color w:val="000000"/>
        </w:rPr>
        <w:t>NRCS</w:t>
      </w:r>
    </w:p>
    <w:p w14:paraId="5EDAA572" w14:textId="77777777" w:rsidR="00D05DD0" w:rsidRDefault="00D05DD0" w:rsidP="00F14FBF">
      <w:pPr>
        <w:pStyle w:val="ListParagraph"/>
        <w:numPr>
          <w:ilvl w:val="3"/>
          <w:numId w:val="2"/>
        </w:numPr>
        <w:rPr>
          <w:rFonts w:eastAsia="Times New Roman" w:cs="Times New Roman"/>
          <w:color w:val="000000"/>
        </w:rPr>
      </w:pPr>
      <w:r>
        <w:rPr>
          <w:rFonts w:eastAsia="Times New Roman" w:cs="Times New Roman"/>
          <w:color w:val="000000"/>
        </w:rPr>
        <w:t>Resource Conservation Districts</w:t>
      </w:r>
    </w:p>
    <w:p w14:paraId="0509E055" w14:textId="77777777" w:rsidR="00D05DD0" w:rsidRDefault="00D05DD0" w:rsidP="00F14FBF">
      <w:pPr>
        <w:pStyle w:val="ListParagraph"/>
        <w:numPr>
          <w:ilvl w:val="3"/>
          <w:numId w:val="2"/>
        </w:numPr>
        <w:rPr>
          <w:rFonts w:eastAsia="Times New Roman" w:cs="Times New Roman"/>
          <w:color w:val="000000"/>
        </w:rPr>
      </w:pPr>
      <w:r>
        <w:rPr>
          <w:rFonts w:eastAsia="Times New Roman" w:cs="Times New Roman"/>
          <w:color w:val="000000"/>
        </w:rPr>
        <w:t>Fire Safe Councils</w:t>
      </w:r>
    </w:p>
    <w:p w14:paraId="66EFCF27" w14:textId="77777777" w:rsidR="00D05DD0" w:rsidRDefault="00D05DD0" w:rsidP="00F14FBF">
      <w:pPr>
        <w:pStyle w:val="ListParagraph"/>
        <w:numPr>
          <w:ilvl w:val="3"/>
          <w:numId w:val="2"/>
        </w:numPr>
        <w:rPr>
          <w:rFonts w:eastAsia="Times New Roman" w:cs="Times New Roman"/>
          <w:color w:val="000000"/>
        </w:rPr>
      </w:pPr>
      <w:r>
        <w:rPr>
          <w:rFonts w:eastAsia="Times New Roman" w:cs="Times New Roman"/>
          <w:color w:val="000000"/>
        </w:rPr>
        <w:t>BLM</w:t>
      </w:r>
    </w:p>
    <w:p w14:paraId="18EB06CD" w14:textId="74C3ED2C" w:rsidR="00D05DD0" w:rsidRDefault="00D05DD0" w:rsidP="00F14FBF">
      <w:pPr>
        <w:pStyle w:val="ListParagraph"/>
        <w:numPr>
          <w:ilvl w:val="3"/>
          <w:numId w:val="2"/>
        </w:numPr>
        <w:rPr>
          <w:rFonts w:eastAsia="Times New Roman" w:cs="Times New Roman"/>
          <w:color w:val="000000"/>
        </w:rPr>
      </w:pPr>
      <w:r>
        <w:rPr>
          <w:rFonts w:eastAsia="Times New Roman" w:cs="Times New Roman"/>
          <w:color w:val="000000"/>
        </w:rPr>
        <w:t>Cal-Am</w:t>
      </w:r>
      <w:r w:rsidR="00FA351F">
        <w:rPr>
          <w:rFonts w:eastAsia="Times New Roman" w:cs="Times New Roman"/>
          <w:color w:val="000000"/>
        </w:rPr>
        <w:t xml:space="preserve"> Team</w:t>
      </w:r>
    </w:p>
    <w:p w14:paraId="0B70B513" w14:textId="77777777" w:rsidR="00D05DD0" w:rsidRDefault="00D05DD0" w:rsidP="00F14FBF">
      <w:pPr>
        <w:pStyle w:val="ListParagraph"/>
        <w:numPr>
          <w:ilvl w:val="3"/>
          <w:numId w:val="2"/>
        </w:numPr>
        <w:rPr>
          <w:rFonts w:eastAsia="Times New Roman" w:cs="Times New Roman"/>
          <w:color w:val="000000"/>
        </w:rPr>
      </w:pPr>
      <w:r>
        <w:rPr>
          <w:rFonts w:eastAsia="Times New Roman" w:cs="Times New Roman"/>
          <w:color w:val="000000"/>
        </w:rPr>
        <w:t>County Ag Commissioners</w:t>
      </w:r>
    </w:p>
    <w:p w14:paraId="7DDF6221" w14:textId="77777777" w:rsidR="00D05DD0" w:rsidRDefault="00D05DD0" w:rsidP="00F14FBF">
      <w:pPr>
        <w:pStyle w:val="ListParagraph"/>
        <w:numPr>
          <w:ilvl w:val="3"/>
          <w:numId w:val="2"/>
        </w:numPr>
        <w:rPr>
          <w:rFonts w:eastAsia="Times New Roman" w:cs="Times New Roman"/>
          <w:color w:val="000000"/>
        </w:rPr>
      </w:pPr>
      <w:r>
        <w:rPr>
          <w:rFonts w:eastAsia="Times New Roman" w:cs="Times New Roman"/>
          <w:color w:val="000000"/>
        </w:rPr>
        <w:t>PG&amp;E</w:t>
      </w:r>
    </w:p>
    <w:p w14:paraId="7DC49015" w14:textId="77777777" w:rsidR="00D05DD0" w:rsidRDefault="00D05DD0" w:rsidP="00F14FBF">
      <w:pPr>
        <w:pStyle w:val="ListParagraph"/>
        <w:numPr>
          <w:ilvl w:val="3"/>
          <w:numId w:val="2"/>
        </w:numPr>
        <w:rPr>
          <w:rFonts w:eastAsia="Times New Roman" w:cs="Times New Roman"/>
          <w:color w:val="000000"/>
        </w:rPr>
      </w:pPr>
      <w:r>
        <w:rPr>
          <w:rFonts w:eastAsia="Times New Roman" w:cs="Times New Roman"/>
          <w:color w:val="000000"/>
        </w:rPr>
        <w:t>Sierra Nevada Conservancy</w:t>
      </w:r>
    </w:p>
    <w:p w14:paraId="78D87ED2" w14:textId="77777777" w:rsidR="00D05DD0" w:rsidRDefault="00D05DD0" w:rsidP="00F14FBF">
      <w:pPr>
        <w:pStyle w:val="ListParagraph"/>
        <w:numPr>
          <w:ilvl w:val="3"/>
          <w:numId w:val="2"/>
        </w:numPr>
        <w:rPr>
          <w:rFonts w:eastAsia="Times New Roman" w:cs="Times New Roman"/>
          <w:color w:val="000000"/>
        </w:rPr>
      </w:pPr>
      <w:r>
        <w:rPr>
          <w:rFonts w:eastAsia="Times New Roman" w:cs="Times New Roman"/>
          <w:color w:val="000000"/>
        </w:rPr>
        <w:t>El Dorado Irrigation District</w:t>
      </w:r>
    </w:p>
    <w:p w14:paraId="24862E9C" w14:textId="2B71B1D4" w:rsidR="00D05DD0" w:rsidRDefault="00FA351F" w:rsidP="00F14FBF">
      <w:pPr>
        <w:pStyle w:val="ListParagraph"/>
        <w:numPr>
          <w:ilvl w:val="3"/>
          <w:numId w:val="2"/>
        </w:numPr>
        <w:rPr>
          <w:rFonts w:eastAsia="Times New Roman" w:cs="Times New Roman"/>
          <w:color w:val="000000"/>
        </w:rPr>
      </w:pPr>
      <w:r>
        <w:rPr>
          <w:rFonts w:eastAsia="Times New Roman" w:cs="Times New Roman"/>
          <w:color w:val="000000"/>
        </w:rPr>
        <w:t xml:space="preserve">Sgt. </w:t>
      </w:r>
      <w:r w:rsidR="00D05DD0">
        <w:rPr>
          <w:rFonts w:eastAsia="Times New Roman" w:cs="Times New Roman"/>
          <w:color w:val="000000"/>
        </w:rPr>
        <w:t>John Silva (</w:t>
      </w:r>
      <w:r>
        <w:rPr>
          <w:rFonts w:eastAsia="Times New Roman" w:cs="Times New Roman"/>
          <w:color w:val="000000"/>
        </w:rPr>
        <w:t xml:space="preserve">Amador County </w:t>
      </w:r>
      <w:r w:rsidR="00D05DD0">
        <w:rPr>
          <w:rFonts w:eastAsia="Times New Roman" w:cs="Times New Roman"/>
          <w:color w:val="000000"/>
        </w:rPr>
        <w:t>OES)</w:t>
      </w:r>
    </w:p>
    <w:p w14:paraId="3E37110B" w14:textId="1D071200" w:rsidR="00E92D00" w:rsidRDefault="00D05DD0" w:rsidP="00F14FBF">
      <w:pPr>
        <w:pStyle w:val="ListParagraph"/>
        <w:numPr>
          <w:ilvl w:val="3"/>
          <w:numId w:val="2"/>
        </w:numPr>
        <w:rPr>
          <w:rFonts w:eastAsia="Times New Roman" w:cs="Times New Roman"/>
          <w:color w:val="000000"/>
        </w:rPr>
      </w:pPr>
      <w:r>
        <w:rPr>
          <w:rFonts w:eastAsia="Times New Roman" w:cs="Times New Roman"/>
          <w:color w:val="000000"/>
        </w:rPr>
        <w:t>Amador County Transportation Commission</w:t>
      </w:r>
    </w:p>
    <w:p w14:paraId="6313D2DA" w14:textId="77777777" w:rsidR="00D05DD0" w:rsidRDefault="00D05DD0" w:rsidP="00F14FBF">
      <w:pPr>
        <w:pStyle w:val="ListParagraph"/>
        <w:numPr>
          <w:ilvl w:val="3"/>
          <w:numId w:val="2"/>
        </w:numPr>
        <w:rPr>
          <w:rFonts w:eastAsia="Times New Roman" w:cs="Times New Roman"/>
          <w:color w:val="000000"/>
        </w:rPr>
      </w:pPr>
      <w:r>
        <w:rPr>
          <w:rFonts w:eastAsia="Times New Roman" w:cs="Times New Roman"/>
          <w:color w:val="000000"/>
        </w:rPr>
        <w:t>Calaveras County GIS specialist</w:t>
      </w:r>
    </w:p>
    <w:p w14:paraId="0A8CE2F8" w14:textId="77777777" w:rsidR="00D05DD0" w:rsidRDefault="00D05DD0" w:rsidP="00F14FBF">
      <w:pPr>
        <w:pStyle w:val="ListParagraph"/>
        <w:numPr>
          <w:ilvl w:val="3"/>
          <w:numId w:val="2"/>
        </w:numPr>
        <w:rPr>
          <w:rFonts w:eastAsia="Times New Roman" w:cs="Times New Roman"/>
          <w:color w:val="000000"/>
        </w:rPr>
      </w:pPr>
      <w:r>
        <w:rPr>
          <w:rFonts w:eastAsia="Times New Roman" w:cs="Times New Roman"/>
          <w:color w:val="000000"/>
        </w:rPr>
        <w:t>Alpine Watershed Council</w:t>
      </w:r>
    </w:p>
    <w:p w14:paraId="59EBFB8A" w14:textId="77777777" w:rsidR="00D05DD0" w:rsidRDefault="00D05DD0" w:rsidP="00F14FBF">
      <w:pPr>
        <w:pStyle w:val="ListParagraph"/>
        <w:numPr>
          <w:ilvl w:val="3"/>
          <w:numId w:val="2"/>
        </w:numPr>
        <w:rPr>
          <w:rFonts w:eastAsia="Times New Roman" w:cs="Times New Roman"/>
          <w:color w:val="000000"/>
        </w:rPr>
      </w:pPr>
      <w:r>
        <w:rPr>
          <w:rFonts w:eastAsia="Times New Roman" w:cs="Times New Roman"/>
          <w:color w:val="000000"/>
        </w:rPr>
        <w:lastRenderedPageBreak/>
        <w:t>Calaveras County Water District</w:t>
      </w:r>
    </w:p>
    <w:p w14:paraId="4D1DC6DB" w14:textId="77777777" w:rsidR="00F70C14" w:rsidRPr="00F70C14" w:rsidRDefault="00D05DD0" w:rsidP="00F70C14">
      <w:pPr>
        <w:pStyle w:val="ListParagraph"/>
        <w:numPr>
          <w:ilvl w:val="3"/>
          <w:numId w:val="2"/>
        </w:numPr>
        <w:rPr>
          <w:rFonts w:eastAsia="Times New Roman" w:cs="Times New Roman"/>
          <w:color w:val="000000"/>
        </w:rPr>
      </w:pPr>
      <w:r>
        <w:rPr>
          <w:rFonts w:eastAsia="Times New Roman" w:cs="Times New Roman"/>
          <w:color w:val="000000"/>
        </w:rPr>
        <w:t>Calaveras Council of Governments</w:t>
      </w:r>
    </w:p>
    <w:p w14:paraId="0A62A4B7" w14:textId="35917FB6" w:rsidR="00A1675B" w:rsidRDefault="00AE1066" w:rsidP="00F70C14">
      <w:pPr>
        <w:pStyle w:val="ListParagraph"/>
        <w:numPr>
          <w:ilvl w:val="2"/>
          <w:numId w:val="2"/>
        </w:numPr>
        <w:rPr>
          <w:rFonts w:eastAsia="Times New Roman" w:cs="Times New Roman"/>
          <w:color w:val="000000"/>
        </w:rPr>
      </w:pPr>
      <w:r>
        <w:rPr>
          <w:rFonts w:eastAsia="Times New Roman" w:cs="Times New Roman"/>
          <w:b/>
          <w:color w:val="000000"/>
        </w:rPr>
        <w:t>Anticipated Completion:</w:t>
      </w:r>
      <w:r>
        <w:rPr>
          <w:rFonts w:eastAsia="Times New Roman" w:cs="Times New Roman"/>
          <w:color w:val="000000"/>
        </w:rPr>
        <w:t xml:space="preserve"> The December 11</w:t>
      </w:r>
      <w:r w:rsidRPr="00AE1066">
        <w:rPr>
          <w:rFonts w:eastAsia="Times New Roman" w:cs="Times New Roman"/>
          <w:color w:val="000000"/>
          <w:vertAlign w:val="superscript"/>
        </w:rPr>
        <w:t>th</w:t>
      </w:r>
      <w:r>
        <w:rPr>
          <w:rFonts w:eastAsia="Times New Roman" w:cs="Times New Roman"/>
          <w:color w:val="000000"/>
        </w:rPr>
        <w:t xml:space="preserve"> meeting will be a first step </w:t>
      </w:r>
      <w:r w:rsidR="0068432D">
        <w:rPr>
          <w:rFonts w:eastAsia="Times New Roman" w:cs="Times New Roman"/>
          <w:color w:val="000000"/>
        </w:rPr>
        <w:t>toward</w:t>
      </w:r>
      <w:r>
        <w:rPr>
          <w:rFonts w:eastAsia="Times New Roman" w:cs="Times New Roman"/>
          <w:color w:val="000000"/>
        </w:rPr>
        <w:t xml:space="preserve"> identifying priority areas. </w:t>
      </w:r>
      <w:r w:rsidR="00321C9E">
        <w:rPr>
          <w:rFonts w:eastAsia="Times New Roman" w:cs="Times New Roman"/>
          <w:color w:val="000000"/>
        </w:rPr>
        <w:t>It is anticipated that</w:t>
      </w:r>
      <w:r>
        <w:rPr>
          <w:rFonts w:eastAsia="Times New Roman" w:cs="Times New Roman"/>
          <w:color w:val="000000"/>
        </w:rPr>
        <w:t xml:space="preserve"> there will be subsequent meetings and targeted outreach to </w:t>
      </w:r>
      <w:r w:rsidR="00DC3CFD">
        <w:rPr>
          <w:rFonts w:eastAsia="Times New Roman" w:cs="Times New Roman"/>
          <w:color w:val="000000"/>
        </w:rPr>
        <w:t xml:space="preserve">receive input from the full range of ACCG stakeholders and to understand the adequacy of </w:t>
      </w:r>
      <w:r w:rsidR="00321C9E">
        <w:rPr>
          <w:rFonts w:eastAsia="Times New Roman" w:cs="Times New Roman"/>
          <w:color w:val="000000"/>
        </w:rPr>
        <w:t>the data available</w:t>
      </w:r>
      <w:r w:rsidR="00DC3CFD">
        <w:rPr>
          <w:rFonts w:eastAsia="Times New Roman" w:cs="Times New Roman"/>
          <w:color w:val="000000"/>
        </w:rPr>
        <w:t>.</w:t>
      </w:r>
      <w:r>
        <w:rPr>
          <w:rFonts w:eastAsia="Times New Roman" w:cs="Times New Roman"/>
          <w:color w:val="000000"/>
        </w:rPr>
        <w:t xml:space="preserve"> </w:t>
      </w:r>
      <w:r w:rsidR="000E6EF2">
        <w:rPr>
          <w:rFonts w:eastAsia="Times New Roman" w:cs="Times New Roman"/>
          <w:color w:val="000000"/>
        </w:rPr>
        <w:t xml:space="preserve">If awarded, the Sierra Nevada Conservancy grant </w:t>
      </w:r>
      <w:r w:rsidR="00FA351F">
        <w:rPr>
          <w:rFonts w:eastAsia="Times New Roman" w:cs="Times New Roman"/>
          <w:color w:val="000000"/>
        </w:rPr>
        <w:t>c</w:t>
      </w:r>
      <w:r w:rsidR="00321C9E">
        <w:rPr>
          <w:rFonts w:eastAsia="Times New Roman" w:cs="Times New Roman"/>
          <w:color w:val="000000"/>
        </w:rPr>
        <w:t xml:space="preserve">ould </w:t>
      </w:r>
      <w:r w:rsidR="000E6EF2">
        <w:rPr>
          <w:rFonts w:eastAsia="Times New Roman" w:cs="Times New Roman"/>
          <w:color w:val="000000"/>
        </w:rPr>
        <w:t>fund a GIS specialist who could conduct some of the necessary</w:t>
      </w:r>
      <w:r w:rsidR="003C6C34">
        <w:rPr>
          <w:rFonts w:eastAsia="Times New Roman" w:cs="Times New Roman"/>
          <w:color w:val="000000"/>
        </w:rPr>
        <w:t xml:space="preserve"> targeted</w:t>
      </w:r>
      <w:r w:rsidR="000E6EF2">
        <w:rPr>
          <w:rFonts w:eastAsia="Times New Roman" w:cs="Times New Roman"/>
          <w:color w:val="000000"/>
        </w:rPr>
        <w:t xml:space="preserve"> outreach to gather information</w:t>
      </w:r>
      <w:r w:rsidR="00FA351F">
        <w:rPr>
          <w:rFonts w:eastAsia="Times New Roman" w:cs="Times New Roman"/>
          <w:color w:val="000000"/>
        </w:rPr>
        <w:t xml:space="preserve"> or the work could be carried out by an ACCG member/partner with mapping capabilities</w:t>
      </w:r>
      <w:r w:rsidR="000E6EF2">
        <w:rPr>
          <w:rFonts w:eastAsia="Times New Roman" w:cs="Times New Roman"/>
          <w:color w:val="000000"/>
        </w:rPr>
        <w:t>.</w:t>
      </w:r>
    </w:p>
    <w:p w14:paraId="29DD267C" w14:textId="77777777" w:rsidR="00907A68" w:rsidRPr="00F70C14" w:rsidRDefault="00907A68" w:rsidP="00907A68">
      <w:pPr>
        <w:pStyle w:val="ListParagraph"/>
        <w:ind w:left="2160"/>
        <w:rPr>
          <w:rFonts w:eastAsia="Times New Roman" w:cs="Times New Roman"/>
          <w:color w:val="000000"/>
        </w:rPr>
      </w:pPr>
    </w:p>
    <w:p w14:paraId="0555BC34" w14:textId="71BB80D2" w:rsidR="009F777A" w:rsidRDefault="009F650B" w:rsidP="00673169">
      <w:pPr>
        <w:pStyle w:val="ListParagraph"/>
        <w:numPr>
          <w:ilvl w:val="0"/>
          <w:numId w:val="2"/>
        </w:numPr>
        <w:rPr>
          <w:rFonts w:eastAsia="Times New Roman" w:cs="Times New Roman"/>
          <w:color w:val="000000"/>
        </w:rPr>
      </w:pPr>
      <w:r>
        <w:rPr>
          <w:rFonts w:eastAsia="Times New Roman" w:cs="Times New Roman"/>
          <w:b/>
          <w:color w:val="000000"/>
        </w:rPr>
        <w:t>STEP 2</w:t>
      </w:r>
      <w:r w:rsidR="00125C69">
        <w:rPr>
          <w:rFonts w:eastAsia="Times New Roman" w:cs="Times New Roman"/>
          <w:b/>
          <w:color w:val="000000"/>
        </w:rPr>
        <w:t xml:space="preserve">: </w:t>
      </w:r>
      <w:r w:rsidR="00321C9E">
        <w:rPr>
          <w:rFonts w:eastAsia="Times New Roman" w:cs="Times New Roman"/>
          <w:b/>
          <w:color w:val="000000"/>
        </w:rPr>
        <w:t>Refine ACCG Work Group Structure</w:t>
      </w:r>
      <w:r w:rsidR="00C515A7">
        <w:rPr>
          <w:rFonts w:eastAsia="Times New Roman" w:cs="Times New Roman"/>
          <w:b/>
          <w:color w:val="000000"/>
        </w:rPr>
        <w:t xml:space="preserve">: </w:t>
      </w:r>
      <w:r w:rsidR="0038156C">
        <w:rPr>
          <w:rFonts w:eastAsia="Times New Roman" w:cs="Times New Roman"/>
          <w:color w:val="000000"/>
        </w:rPr>
        <w:t xml:space="preserve">Landscape-scale work requires </w:t>
      </w:r>
      <w:r w:rsidR="00DC4FC1">
        <w:rPr>
          <w:rFonts w:eastAsia="Times New Roman" w:cs="Times New Roman"/>
          <w:color w:val="000000"/>
        </w:rPr>
        <w:t xml:space="preserve">an </w:t>
      </w:r>
      <w:r w:rsidR="0038156C">
        <w:rPr>
          <w:rFonts w:eastAsia="Times New Roman" w:cs="Times New Roman"/>
          <w:color w:val="000000"/>
        </w:rPr>
        <w:t xml:space="preserve">organizational structure </w:t>
      </w:r>
      <w:r w:rsidR="00FA351F">
        <w:rPr>
          <w:rFonts w:eastAsia="Times New Roman" w:cs="Times New Roman"/>
          <w:color w:val="000000"/>
        </w:rPr>
        <w:t xml:space="preserve">that </w:t>
      </w:r>
      <w:r w:rsidR="0038156C">
        <w:rPr>
          <w:rFonts w:eastAsia="Times New Roman" w:cs="Times New Roman"/>
          <w:color w:val="000000"/>
        </w:rPr>
        <w:t>facilitate</w:t>
      </w:r>
      <w:r w:rsidR="004E26AA">
        <w:rPr>
          <w:rFonts w:eastAsia="Times New Roman" w:cs="Times New Roman"/>
          <w:color w:val="000000"/>
        </w:rPr>
        <w:t>s</w:t>
      </w:r>
      <w:r w:rsidR="0038156C">
        <w:rPr>
          <w:rFonts w:eastAsia="Times New Roman" w:cs="Times New Roman"/>
          <w:color w:val="000000"/>
        </w:rPr>
        <w:t xml:space="preserve"> cross-jurisdictional efforts</w:t>
      </w:r>
      <w:r w:rsidR="009F777A">
        <w:rPr>
          <w:rFonts w:eastAsia="Times New Roman" w:cs="Times New Roman"/>
          <w:color w:val="000000"/>
        </w:rPr>
        <w:t xml:space="preserve"> to support the increase of pace and scale </w:t>
      </w:r>
      <w:r w:rsidR="00722630">
        <w:rPr>
          <w:rFonts w:eastAsia="Times New Roman" w:cs="Times New Roman"/>
          <w:color w:val="000000"/>
        </w:rPr>
        <w:t>and</w:t>
      </w:r>
      <w:r w:rsidR="002A5CA2" w:rsidRPr="00E94EED">
        <w:rPr>
          <w:rFonts w:eastAsia="Times New Roman" w:cs="Times New Roman"/>
          <w:color w:val="000000"/>
        </w:rPr>
        <w:t xml:space="preserve"> efficient and effective coordination among ACCG members</w:t>
      </w:r>
      <w:r w:rsidR="002A5CA2">
        <w:rPr>
          <w:rFonts w:eastAsia="Times New Roman" w:cs="Times New Roman"/>
          <w:color w:val="000000"/>
        </w:rPr>
        <w:t>.</w:t>
      </w:r>
      <w:r w:rsidR="002A5CA2" w:rsidRPr="00673169">
        <w:rPr>
          <w:rFonts w:eastAsia="Times New Roman" w:cs="Times New Roman"/>
          <w:color w:val="000000"/>
        </w:rPr>
        <w:t xml:space="preserve"> </w:t>
      </w:r>
      <w:r w:rsidR="00673169" w:rsidRPr="00673169">
        <w:rPr>
          <w:rFonts w:eastAsia="Times New Roman" w:cs="Times New Roman"/>
          <w:color w:val="000000"/>
        </w:rPr>
        <w:t>The ACCG</w:t>
      </w:r>
      <w:r w:rsidR="00A700B9">
        <w:rPr>
          <w:rFonts w:eastAsia="Times New Roman" w:cs="Times New Roman"/>
          <w:color w:val="000000"/>
        </w:rPr>
        <w:t xml:space="preserve"> Admin WG recommends</w:t>
      </w:r>
      <w:r w:rsidR="009F777A">
        <w:rPr>
          <w:rFonts w:eastAsia="Times New Roman" w:cs="Times New Roman"/>
          <w:color w:val="000000"/>
        </w:rPr>
        <w:t xml:space="preserve"> refining the ACCG work group structure in the following ways</w:t>
      </w:r>
      <w:r w:rsidR="000B6338">
        <w:rPr>
          <w:rFonts w:eastAsia="Times New Roman" w:cs="Times New Roman"/>
          <w:color w:val="000000"/>
        </w:rPr>
        <w:t xml:space="preserve">. If approved by the full ACCG, these refinements would be incorporated into the revision of the ACCG MOA </w:t>
      </w:r>
      <w:r w:rsidR="00E04BF0">
        <w:rPr>
          <w:rFonts w:eastAsia="Times New Roman" w:cs="Times New Roman"/>
          <w:color w:val="000000"/>
        </w:rPr>
        <w:t>by January 2020.</w:t>
      </w:r>
    </w:p>
    <w:p w14:paraId="4521C173" w14:textId="77777777" w:rsidR="009F777A" w:rsidRDefault="009F777A" w:rsidP="009F777A">
      <w:pPr>
        <w:pStyle w:val="ListParagraph"/>
        <w:numPr>
          <w:ilvl w:val="1"/>
          <w:numId w:val="2"/>
        </w:numPr>
        <w:rPr>
          <w:rFonts w:eastAsia="Times New Roman" w:cs="Times New Roman"/>
          <w:color w:val="000000"/>
        </w:rPr>
      </w:pPr>
      <w:r>
        <w:rPr>
          <w:rFonts w:eastAsia="Times New Roman" w:cs="Times New Roman"/>
          <w:color w:val="000000"/>
        </w:rPr>
        <w:t xml:space="preserve"> </w:t>
      </w:r>
      <w:r w:rsidRPr="0097601B">
        <w:rPr>
          <w:rFonts w:eastAsia="Times New Roman" w:cs="Times New Roman"/>
          <w:b/>
          <w:color w:val="000000"/>
        </w:rPr>
        <w:t>Planning Work Group</w:t>
      </w:r>
      <w:r>
        <w:rPr>
          <w:rFonts w:eastAsia="Times New Roman" w:cs="Times New Roman"/>
          <w:color w:val="000000"/>
        </w:rPr>
        <w:t xml:space="preserve"> </w:t>
      </w:r>
      <w:r w:rsidR="0097601B">
        <w:rPr>
          <w:rFonts w:eastAsia="Times New Roman" w:cs="Times New Roman"/>
          <w:color w:val="000000"/>
        </w:rPr>
        <w:t xml:space="preserve">would </w:t>
      </w:r>
      <w:r>
        <w:rPr>
          <w:rFonts w:eastAsia="Times New Roman" w:cs="Times New Roman"/>
          <w:color w:val="000000"/>
        </w:rPr>
        <w:t>continue its project planning</w:t>
      </w:r>
      <w:r w:rsidR="00DC4FC1">
        <w:rPr>
          <w:rFonts w:eastAsia="Times New Roman" w:cs="Times New Roman"/>
          <w:color w:val="000000"/>
        </w:rPr>
        <w:t xml:space="preserve"> efforts</w:t>
      </w:r>
      <w:r>
        <w:rPr>
          <w:rFonts w:eastAsia="Times New Roman" w:cs="Times New Roman"/>
          <w:color w:val="000000"/>
        </w:rPr>
        <w:t xml:space="preserve"> with a broadened focus on an all-lands approach</w:t>
      </w:r>
      <w:r w:rsidR="00DC4FC1">
        <w:rPr>
          <w:rFonts w:eastAsia="Times New Roman" w:cs="Times New Roman"/>
          <w:color w:val="000000"/>
        </w:rPr>
        <w:t xml:space="preserve"> </w:t>
      </w:r>
      <w:r w:rsidR="0097601B">
        <w:rPr>
          <w:rFonts w:eastAsia="Times New Roman" w:cs="Times New Roman"/>
          <w:color w:val="000000"/>
        </w:rPr>
        <w:t xml:space="preserve">emphasizing work </w:t>
      </w:r>
      <w:r w:rsidR="00DC4FC1">
        <w:rPr>
          <w:rFonts w:eastAsia="Times New Roman" w:cs="Times New Roman"/>
          <w:color w:val="000000"/>
        </w:rPr>
        <w:t>across jurisdictional boundaries more effectively.</w:t>
      </w:r>
    </w:p>
    <w:p w14:paraId="3B073936" w14:textId="77777777" w:rsidR="0097601B" w:rsidRDefault="009F777A" w:rsidP="009F777A">
      <w:pPr>
        <w:pStyle w:val="ListParagraph"/>
        <w:numPr>
          <w:ilvl w:val="1"/>
          <w:numId w:val="2"/>
        </w:numPr>
        <w:rPr>
          <w:rFonts w:eastAsia="Times New Roman" w:cs="Times New Roman"/>
          <w:color w:val="000000"/>
        </w:rPr>
      </w:pPr>
      <w:r w:rsidRPr="0097601B">
        <w:rPr>
          <w:rFonts w:eastAsia="Times New Roman" w:cs="Times New Roman"/>
          <w:b/>
          <w:color w:val="000000"/>
        </w:rPr>
        <w:t>Monitoring Work Group</w:t>
      </w:r>
      <w:r w:rsidR="00DC4FC1">
        <w:rPr>
          <w:rFonts w:eastAsia="Times New Roman" w:cs="Times New Roman"/>
          <w:color w:val="000000"/>
        </w:rPr>
        <w:t xml:space="preserve"> </w:t>
      </w:r>
      <w:r w:rsidR="0097601B">
        <w:rPr>
          <w:rFonts w:eastAsia="Times New Roman" w:cs="Times New Roman"/>
          <w:color w:val="000000"/>
        </w:rPr>
        <w:t>would</w:t>
      </w:r>
      <w:r w:rsidR="00DC4FC1">
        <w:rPr>
          <w:rFonts w:eastAsia="Times New Roman" w:cs="Times New Roman"/>
          <w:color w:val="000000"/>
        </w:rPr>
        <w:t xml:space="preserve"> take a more active role in post-project monitoring to ensure an essential feedback loop</w:t>
      </w:r>
      <w:r w:rsidR="004F6DEE">
        <w:rPr>
          <w:rFonts w:eastAsia="Times New Roman" w:cs="Times New Roman"/>
          <w:color w:val="000000"/>
        </w:rPr>
        <w:t xml:space="preserve">. This </w:t>
      </w:r>
      <w:r w:rsidR="0070231D">
        <w:rPr>
          <w:rFonts w:eastAsia="Times New Roman" w:cs="Times New Roman"/>
          <w:color w:val="000000"/>
        </w:rPr>
        <w:t xml:space="preserve">may </w:t>
      </w:r>
      <w:r w:rsidR="00257A08">
        <w:rPr>
          <w:rFonts w:eastAsia="Times New Roman" w:cs="Times New Roman"/>
          <w:color w:val="000000"/>
        </w:rPr>
        <w:t xml:space="preserve">foster </w:t>
      </w:r>
      <w:r w:rsidR="00634577">
        <w:rPr>
          <w:rFonts w:eastAsia="Times New Roman" w:cs="Times New Roman"/>
          <w:color w:val="000000"/>
        </w:rPr>
        <w:t xml:space="preserve">a willingness among ACCG members for </w:t>
      </w:r>
      <w:r w:rsidR="0097601B">
        <w:rPr>
          <w:rFonts w:eastAsia="Times New Roman" w:cs="Times New Roman"/>
          <w:color w:val="000000"/>
        </w:rPr>
        <w:t>greater experimentation</w:t>
      </w:r>
      <w:r w:rsidR="00CB3AD4">
        <w:rPr>
          <w:rFonts w:eastAsia="Times New Roman" w:cs="Times New Roman"/>
          <w:color w:val="000000"/>
        </w:rPr>
        <w:t xml:space="preserve">. It would emphasize the monitoring of results in order to extract lessons learned and apply them to future project activities. </w:t>
      </w:r>
      <w:r w:rsidR="0097601B">
        <w:rPr>
          <w:rFonts w:eastAsia="Times New Roman" w:cs="Times New Roman"/>
          <w:color w:val="000000"/>
        </w:rPr>
        <w:t>In order for this to occur, ACCG</w:t>
      </w:r>
      <w:r w:rsidR="00634577">
        <w:rPr>
          <w:rFonts w:eastAsia="Times New Roman" w:cs="Times New Roman"/>
          <w:color w:val="000000"/>
        </w:rPr>
        <w:t xml:space="preserve">-supported </w:t>
      </w:r>
      <w:r w:rsidR="0097601B">
        <w:rPr>
          <w:rFonts w:eastAsia="Times New Roman" w:cs="Times New Roman"/>
          <w:color w:val="000000"/>
        </w:rPr>
        <w:t>projects would need to explicitly include a monitoring component.</w:t>
      </w:r>
    </w:p>
    <w:p w14:paraId="1F2A9DB1" w14:textId="117475C3" w:rsidR="00E60DD5" w:rsidRDefault="00973A5C" w:rsidP="00E60DD5">
      <w:pPr>
        <w:pStyle w:val="ListParagraph"/>
        <w:numPr>
          <w:ilvl w:val="1"/>
          <w:numId w:val="2"/>
        </w:numPr>
        <w:rPr>
          <w:rFonts w:eastAsia="Times New Roman" w:cs="Times New Roman"/>
          <w:color w:val="000000"/>
        </w:rPr>
      </w:pPr>
      <w:r>
        <w:rPr>
          <w:rFonts w:eastAsia="Times New Roman" w:cs="Times New Roman"/>
          <w:b/>
          <w:color w:val="000000"/>
        </w:rPr>
        <w:t xml:space="preserve">Grant/Funding Coordination Work Group </w:t>
      </w:r>
      <w:r>
        <w:rPr>
          <w:rFonts w:eastAsia="Times New Roman" w:cs="Times New Roman"/>
          <w:color w:val="000000"/>
        </w:rPr>
        <w:t xml:space="preserve">would be a new ACCG work group that would </w:t>
      </w:r>
      <w:r w:rsidR="00E60DD5">
        <w:rPr>
          <w:rFonts w:eastAsia="Times New Roman" w:cs="Times New Roman"/>
          <w:color w:val="000000"/>
        </w:rPr>
        <w:t>promote more collaboration and less competition in seeking funding in order to maximize the ACCG’s funding potential and capacity to pursue grants</w:t>
      </w:r>
      <w:r w:rsidR="00147FA8">
        <w:rPr>
          <w:rFonts w:eastAsia="Times New Roman" w:cs="Times New Roman"/>
          <w:color w:val="000000"/>
        </w:rPr>
        <w:t>. This proposed work group would assist the ACCG</w:t>
      </w:r>
      <w:r w:rsidR="00E60DD5">
        <w:rPr>
          <w:rFonts w:eastAsia="Times New Roman" w:cs="Times New Roman"/>
          <w:color w:val="000000"/>
        </w:rPr>
        <w:t xml:space="preserve"> </w:t>
      </w:r>
      <w:r w:rsidR="00E92D00">
        <w:rPr>
          <w:rFonts w:eastAsia="Times New Roman" w:cs="Times New Roman"/>
          <w:color w:val="000000"/>
        </w:rPr>
        <w:t>to</w:t>
      </w:r>
      <w:r w:rsidR="00D16778">
        <w:rPr>
          <w:rFonts w:eastAsia="Times New Roman" w:cs="Times New Roman"/>
          <w:color w:val="000000"/>
        </w:rPr>
        <w:t xml:space="preserve"> </w:t>
      </w:r>
      <w:r w:rsidR="00147FA8">
        <w:rPr>
          <w:rFonts w:eastAsia="Times New Roman" w:cs="Times New Roman"/>
          <w:color w:val="000000"/>
        </w:rPr>
        <w:t>leverage</w:t>
      </w:r>
      <w:r w:rsidR="00E60DD5">
        <w:rPr>
          <w:rFonts w:eastAsia="Times New Roman" w:cs="Times New Roman"/>
          <w:color w:val="000000"/>
        </w:rPr>
        <w:t xml:space="preserve"> the </w:t>
      </w:r>
      <w:r w:rsidR="00147FA8">
        <w:rPr>
          <w:rFonts w:eastAsia="Times New Roman" w:cs="Times New Roman"/>
          <w:color w:val="000000"/>
        </w:rPr>
        <w:t>members’ resources</w:t>
      </w:r>
      <w:r w:rsidR="00E60DD5">
        <w:rPr>
          <w:rFonts w:eastAsia="Times New Roman" w:cs="Times New Roman"/>
          <w:color w:val="000000"/>
        </w:rPr>
        <w:t xml:space="preserve"> and </w:t>
      </w:r>
      <w:r w:rsidR="00147FA8">
        <w:rPr>
          <w:rFonts w:eastAsia="Times New Roman" w:cs="Times New Roman"/>
          <w:color w:val="000000"/>
        </w:rPr>
        <w:t>identify priorities which enable the collaborative to be more o</w:t>
      </w:r>
      <w:r w:rsidR="001A0209">
        <w:rPr>
          <w:rFonts w:eastAsia="Times New Roman" w:cs="Times New Roman"/>
          <w:color w:val="000000"/>
        </w:rPr>
        <w:t xml:space="preserve">pportunistic </w:t>
      </w:r>
      <w:r w:rsidR="00E60DD5">
        <w:rPr>
          <w:rFonts w:eastAsia="Times New Roman" w:cs="Times New Roman"/>
          <w:color w:val="000000"/>
        </w:rPr>
        <w:t xml:space="preserve">in </w:t>
      </w:r>
      <w:r w:rsidR="001A0F0B">
        <w:rPr>
          <w:rFonts w:eastAsia="Times New Roman" w:cs="Times New Roman"/>
          <w:color w:val="000000"/>
        </w:rPr>
        <w:t>pursuing funding.</w:t>
      </w:r>
      <w:r w:rsidR="00E60DD5">
        <w:rPr>
          <w:rFonts w:eastAsia="Times New Roman" w:cs="Times New Roman"/>
          <w:color w:val="000000"/>
        </w:rPr>
        <w:t xml:space="preserve"> </w:t>
      </w:r>
      <w:r w:rsidR="00A1675B">
        <w:rPr>
          <w:rFonts w:eastAsia="Times New Roman" w:cs="Times New Roman"/>
          <w:color w:val="000000"/>
        </w:rPr>
        <w:t>This</w:t>
      </w:r>
      <w:r w:rsidR="001A0209">
        <w:rPr>
          <w:rFonts w:eastAsia="Times New Roman" w:cs="Times New Roman"/>
          <w:color w:val="000000"/>
        </w:rPr>
        <w:t xml:space="preserve"> would</w:t>
      </w:r>
      <w:r w:rsidR="00A1675B">
        <w:rPr>
          <w:rFonts w:eastAsia="Times New Roman" w:cs="Times New Roman"/>
          <w:color w:val="000000"/>
        </w:rPr>
        <w:t xml:space="preserve"> also help</w:t>
      </w:r>
      <w:r w:rsidR="001E4467">
        <w:rPr>
          <w:rFonts w:eastAsia="Times New Roman" w:cs="Times New Roman"/>
          <w:color w:val="000000"/>
        </w:rPr>
        <w:t xml:space="preserve"> </w:t>
      </w:r>
      <w:r w:rsidR="00A1675B">
        <w:rPr>
          <w:rFonts w:eastAsia="Times New Roman" w:cs="Times New Roman"/>
          <w:color w:val="000000"/>
        </w:rPr>
        <w:t xml:space="preserve">the ACCG work toward financial sustainability after Cornerstone funding ends. </w:t>
      </w:r>
      <w:r w:rsidR="00E60DD5">
        <w:rPr>
          <w:rFonts w:eastAsia="Times New Roman" w:cs="Times New Roman"/>
          <w:color w:val="000000"/>
        </w:rPr>
        <w:t xml:space="preserve">The Admin WG proposes that the Funding WG would meet quarterly beginning in early 2020. </w:t>
      </w:r>
    </w:p>
    <w:p w14:paraId="40F0574F" w14:textId="77777777" w:rsidR="001A0F0B" w:rsidRPr="001A0F0B" w:rsidRDefault="001A0F0B" w:rsidP="001A0F0B">
      <w:pPr>
        <w:pStyle w:val="ListParagraph"/>
        <w:numPr>
          <w:ilvl w:val="2"/>
          <w:numId w:val="2"/>
        </w:numPr>
        <w:rPr>
          <w:rFonts w:eastAsia="Times New Roman" w:cs="Times New Roman"/>
          <w:color w:val="000000"/>
        </w:rPr>
      </w:pPr>
      <w:r>
        <w:rPr>
          <w:rFonts w:eastAsia="Times New Roman" w:cs="Times New Roman"/>
          <w:b/>
          <w:color w:val="000000"/>
        </w:rPr>
        <w:t>Possible Funding WG Participants:</w:t>
      </w:r>
    </w:p>
    <w:p w14:paraId="5F523A87" w14:textId="4149E9CE" w:rsidR="001A0F0B" w:rsidRDefault="001A0F0B" w:rsidP="001A0F0B">
      <w:pPr>
        <w:pStyle w:val="ListParagraph"/>
        <w:numPr>
          <w:ilvl w:val="3"/>
          <w:numId w:val="2"/>
        </w:numPr>
        <w:rPr>
          <w:rFonts w:eastAsia="Times New Roman" w:cs="Times New Roman"/>
          <w:color w:val="000000"/>
        </w:rPr>
      </w:pPr>
      <w:r>
        <w:rPr>
          <w:rFonts w:eastAsia="Times New Roman" w:cs="Times New Roman"/>
          <w:color w:val="000000"/>
        </w:rPr>
        <w:t>C</w:t>
      </w:r>
      <w:r w:rsidR="00A1675B">
        <w:rPr>
          <w:rFonts w:eastAsia="Times New Roman" w:cs="Times New Roman"/>
          <w:color w:val="000000"/>
        </w:rPr>
        <w:t>HIP</w:t>
      </w:r>
      <w:r w:rsidR="00FA351F">
        <w:rPr>
          <w:rFonts w:eastAsia="Times New Roman" w:cs="Times New Roman"/>
          <w:color w:val="000000"/>
        </w:rPr>
        <w:t>S</w:t>
      </w:r>
    </w:p>
    <w:p w14:paraId="709C3C29" w14:textId="77777777" w:rsidR="001A0F0B" w:rsidRDefault="001A0F0B" w:rsidP="001A0F0B">
      <w:pPr>
        <w:pStyle w:val="ListParagraph"/>
        <w:numPr>
          <w:ilvl w:val="3"/>
          <w:numId w:val="2"/>
        </w:numPr>
        <w:rPr>
          <w:rFonts w:eastAsia="Times New Roman" w:cs="Times New Roman"/>
          <w:color w:val="000000"/>
        </w:rPr>
      </w:pPr>
      <w:r>
        <w:rPr>
          <w:rFonts w:eastAsia="Times New Roman" w:cs="Times New Roman"/>
          <w:color w:val="000000"/>
        </w:rPr>
        <w:t>UMRWA</w:t>
      </w:r>
    </w:p>
    <w:p w14:paraId="34BCD90C" w14:textId="77777777" w:rsidR="00A1675B" w:rsidRDefault="00A1675B" w:rsidP="001A0F0B">
      <w:pPr>
        <w:pStyle w:val="ListParagraph"/>
        <w:numPr>
          <w:ilvl w:val="3"/>
          <w:numId w:val="2"/>
        </w:numPr>
        <w:rPr>
          <w:rFonts w:eastAsia="Times New Roman" w:cs="Times New Roman"/>
          <w:color w:val="000000"/>
        </w:rPr>
      </w:pPr>
      <w:r>
        <w:rPr>
          <w:rFonts w:eastAsia="Times New Roman" w:cs="Times New Roman"/>
          <w:color w:val="000000"/>
        </w:rPr>
        <w:t>Forest Service</w:t>
      </w:r>
    </w:p>
    <w:p w14:paraId="4BDF676B" w14:textId="77777777" w:rsidR="00A1675B" w:rsidRDefault="00A1675B" w:rsidP="001A0F0B">
      <w:pPr>
        <w:pStyle w:val="ListParagraph"/>
        <w:numPr>
          <w:ilvl w:val="3"/>
          <w:numId w:val="2"/>
        </w:numPr>
        <w:rPr>
          <w:rFonts w:eastAsia="Times New Roman" w:cs="Times New Roman"/>
          <w:color w:val="000000"/>
        </w:rPr>
      </w:pPr>
      <w:r>
        <w:rPr>
          <w:rFonts w:eastAsia="Times New Roman" w:cs="Times New Roman"/>
          <w:color w:val="000000"/>
        </w:rPr>
        <w:t>BLM</w:t>
      </w:r>
    </w:p>
    <w:p w14:paraId="548F4757" w14:textId="77777777" w:rsidR="00A1675B" w:rsidRDefault="00A1675B" w:rsidP="001A0F0B">
      <w:pPr>
        <w:pStyle w:val="ListParagraph"/>
        <w:numPr>
          <w:ilvl w:val="3"/>
          <w:numId w:val="2"/>
        </w:numPr>
        <w:rPr>
          <w:rFonts w:eastAsia="Times New Roman" w:cs="Times New Roman"/>
          <w:color w:val="000000"/>
        </w:rPr>
      </w:pPr>
      <w:r>
        <w:rPr>
          <w:rFonts w:eastAsia="Times New Roman" w:cs="Times New Roman"/>
          <w:color w:val="000000"/>
        </w:rPr>
        <w:t>Cal-Am Team</w:t>
      </w:r>
    </w:p>
    <w:p w14:paraId="17B0BBC9" w14:textId="77777777" w:rsidR="001A0F0B" w:rsidRDefault="001A0F0B" w:rsidP="001A0F0B">
      <w:pPr>
        <w:pStyle w:val="ListParagraph"/>
        <w:numPr>
          <w:ilvl w:val="3"/>
          <w:numId w:val="2"/>
        </w:numPr>
        <w:rPr>
          <w:rFonts w:eastAsia="Times New Roman" w:cs="Times New Roman"/>
          <w:color w:val="000000"/>
        </w:rPr>
      </w:pPr>
      <w:r>
        <w:rPr>
          <w:rFonts w:eastAsia="Times New Roman" w:cs="Times New Roman"/>
          <w:color w:val="000000"/>
        </w:rPr>
        <w:t>Resource Conservation Districts</w:t>
      </w:r>
    </w:p>
    <w:p w14:paraId="7220C610" w14:textId="77777777" w:rsidR="001A0F0B" w:rsidRDefault="001A0F0B" w:rsidP="001A0F0B">
      <w:pPr>
        <w:pStyle w:val="ListParagraph"/>
        <w:numPr>
          <w:ilvl w:val="3"/>
          <w:numId w:val="2"/>
        </w:numPr>
        <w:rPr>
          <w:rFonts w:eastAsia="Times New Roman" w:cs="Times New Roman"/>
          <w:color w:val="000000"/>
        </w:rPr>
      </w:pPr>
      <w:r>
        <w:rPr>
          <w:rFonts w:eastAsia="Times New Roman" w:cs="Times New Roman"/>
          <w:color w:val="000000"/>
        </w:rPr>
        <w:t>Fire Safe Councils</w:t>
      </w:r>
    </w:p>
    <w:p w14:paraId="6E5B4EEB" w14:textId="77777777" w:rsidR="001A0F0B" w:rsidRDefault="001A0F0B" w:rsidP="001A0F0B">
      <w:pPr>
        <w:pStyle w:val="ListParagraph"/>
        <w:numPr>
          <w:ilvl w:val="3"/>
          <w:numId w:val="2"/>
        </w:numPr>
        <w:rPr>
          <w:rFonts w:eastAsia="Times New Roman" w:cs="Times New Roman"/>
          <w:color w:val="000000"/>
        </w:rPr>
      </w:pPr>
      <w:r>
        <w:rPr>
          <w:rFonts w:eastAsia="Times New Roman" w:cs="Times New Roman"/>
          <w:color w:val="000000"/>
        </w:rPr>
        <w:lastRenderedPageBreak/>
        <w:t>S</w:t>
      </w:r>
      <w:r w:rsidR="00A1675B">
        <w:rPr>
          <w:rFonts w:eastAsia="Times New Roman" w:cs="Times New Roman"/>
          <w:color w:val="000000"/>
        </w:rPr>
        <w:t>ierra Pacific Industries</w:t>
      </w:r>
    </w:p>
    <w:p w14:paraId="3FEF77FF" w14:textId="77777777" w:rsidR="00A1675B" w:rsidRDefault="00A1675B" w:rsidP="001A0F0B">
      <w:pPr>
        <w:pStyle w:val="ListParagraph"/>
        <w:numPr>
          <w:ilvl w:val="3"/>
          <w:numId w:val="2"/>
        </w:numPr>
        <w:rPr>
          <w:rFonts w:eastAsia="Times New Roman" w:cs="Times New Roman"/>
          <w:color w:val="000000"/>
        </w:rPr>
      </w:pPr>
      <w:r>
        <w:rPr>
          <w:rFonts w:eastAsia="Times New Roman" w:cs="Times New Roman"/>
          <w:color w:val="000000"/>
        </w:rPr>
        <w:t>PG&amp;E</w:t>
      </w:r>
    </w:p>
    <w:p w14:paraId="60DB3765" w14:textId="77777777" w:rsidR="00A1675B" w:rsidRPr="00E60DD5" w:rsidRDefault="00A1675B" w:rsidP="001A0F0B">
      <w:pPr>
        <w:pStyle w:val="ListParagraph"/>
        <w:numPr>
          <w:ilvl w:val="3"/>
          <w:numId w:val="2"/>
        </w:numPr>
        <w:rPr>
          <w:rFonts w:eastAsia="Times New Roman" w:cs="Times New Roman"/>
          <w:color w:val="000000"/>
        </w:rPr>
      </w:pPr>
      <w:r>
        <w:rPr>
          <w:rFonts w:eastAsia="Times New Roman" w:cs="Times New Roman"/>
          <w:color w:val="000000"/>
        </w:rPr>
        <w:t>Regional Water Management Groups (MAC IRWMP, Tuolumne-Stanislaus IRWMP)</w:t>
      </w:r>
    </w:p>
    <w:p w14:paraId="54E8FBA7" w14:textId="77777777" w:rsidR="00673169" w:rsidRDefault="0071269B" w:rsidP="009F777A">
      <w:pPr>
        <w:pStyle w:val="ListParagraph"/>
        <w:numPr>
          <w:ilvl w:val="1"/>
          <w:numId w:val="2"/>
        </w:numPr>
        <w:rPr>
          <w:rFonts w:eastAsia="Times New Roman" w:cs="Times New Roman"/>
          <w:color w:val="000000"/>
        </w:rPr>
      </w:pPr>
      <w:r>
        <w:rPr>
          <w:rFonts w:eastAsia="Times New Roman" w:cs="Times New Roman"/>
          <w:color w:val="000000"/>
        </w:rPr>
        <w:t>Other considerations for working group structure refinement: The Admin WG identified several obstacles to increasing pace and scale. It will be important to consider how the existing/proposed working groups could help address some of these constraints. Some noted that the proposed Funding WG could help address some of these obstacles.</w:t>
      </w:r>
    </w:p>
    <w:p w14:paraId="090B06F8" w14:textId="77777777" w:rsidR="0071269B" w:rsidRDefault="0071269B" w:rsidP="0071269B">
      <w:pPr>
        <w:pStyle w:val="ListParagraph"/>
        <w:numPr>
          <w:ilvl w:val="2"/>
          <w:numId w:val="2"/>
        </w:numPr>
        <w:rPr>
          <w:rFonts w:eastAsia="Times New Roman" w:cs="Times New Roman"/>
          <w:color w:val="000000"/>
        </w:rPr>
      </w:pPr>
      <w:r>
        <w:rPr>
          <w:rFonts w:eastAsia="Times New Roman" w:cs="Times New Roman"/>
          <w:color w:val="000000"/>
        </w:rPr>
        <w:t>Lack of forest products infrastructure</w:t>
      </w:r>
    </w:p>
    <w:p w14:paraId="07170EA5" w14:textId="7EDB05DE" w:rsidR="0071269B" w:rsidRDefault="0071269B" w:rsidP="0071269B">
      <w:pPr>
        <w:pStyle w:val="ListParagraph"/>
        <w:numPr>
          <w:ilvl w:val="2"/>
          <w:numId w:val="2"/>
        </w:numPr>
        <w:rPr>
          <w:rFonts w:eastAsia="Times New Roman" w:cs="Times New Roman"/>
          <w:color w:val="000000"/>
        </w:rPr>
      </w:pPr>
      <w:r>
        <w:rPr>
          <w:rFonts w:eastAsia="Times New Roman" w:cs="Times New Roman"/>
          <w:color w:val="000000"/>
        </w:rPr>
        <w:t xml:space="preserve">Limited Forest Service </w:t>
      </w:r>
      <w:r w:rsidR="00FA351F">
        <w:rPr>
          <w:rFonts w:eastAsia="Times New Roman" w:cs="Times New Roman"/>
          <w:color w:val="000000"/>
        </w:rPr>
        <w:t xml:space="preserve">and BLM </w:t>
      </w:r>
      <w:r>
        <w:rPr>
          <w:rFonts w:eastAsia="Times New Roman" w:cs="Times New Roman"/>
          <w:color w:val="000000"/>
        </w:rPr>
        <w:t>capacity</w:t>
      </w:r>
    </w:p>
    <w:p w14:paraId="1A998C69" w14:textId="77777777" w:rsidR="0071269B" w:rsidRDefault="0071269B" w:rsidP="0071269B">
      <w:pPr>
        <w:pStyle w:val="ListParagraph"/>
        <w:numPr>
          <w:ilvl w:val="2"/>
          <w:numId w:val="2"/>
        </w:numPr>
        <w:rPr>
          <w:rFonts w:eastAsia="Times New Roman" w:cs="Times New Roman"/>
          <w:color w:val="000000"/>
        </w:rPr>
      </w:pPr>
      <w:r>
        <w:rPr>
          <w:rFonts w:eastAsia="Times New Roman" w:cs="Times New Roman"/>
          <w:color w:val="000000"/>
        </w:rPr>
        <w:t>Limited funding</w:t>
      </w:r>
    </w:p>
    <w:p w14:paraId="0FAC6207" w14:textId="38574265" w:rsidR="0071269B" w:rsidRDefault="0071269B" w:rsidP="0071269B">
      <w:pPr>
        <w:pStyle w:val="ListParagraph"/>
        <w:numPr>
          <w:ilvl w:val="2"/>
          <w:numId w:val="2"/>
        </w:numPr>
        <w:rPr>
          <w:rFonts w:eastAsia="Times New Roman" w:cs="Times New Roman"/>
          <w:color w:val="000000"/>
        </w:rPr>
      </w:pPr>
      <w:r>
        <w:rPr>
          <w:rFonts w:eastAsia="Times New Roman" w:cs="Times New Roman"/>
          <w:color w:val="000000"/>
        </w:rPr>
        <w:t>Lack of adequate</w:t>
      </w:r>
      <w:r w:rsidR="00FA351F">
        <w:rPr>
          <w:rFonts w:eastAsia="Times New Roman" w:cs="Times New Roman"/>
          <w:color w:val="000000"/>
        </w:rPr>
        <w:t>, current</w:t>
      </w:r>
      <w:r>
        <w:rPr>
          <w:rFonts w:eastAsia="Times New Roman" w:cs="Times New Roman"/>
          <w:color w:val="000000"/>
        </w:rPr>
        <w:t xml:space="preserve"> LIDAR </w:t>
      </w:r>
      <w:r w:rsidR="00FA351F">
        <w:rPr>
          <w:rFonts w:eastAsia="Times New Roman" w:cs="Times New Roman"/>
          <w:color w:val="000000"/>
        </w:rPr>
        <w:t xml:space="preserve">and other condition </w:t>
      </w:r>
      <w:r>
        <w:rPr>
          <w:rFonts w:eastAsia="Times New Roman" w:cs="Times New Roman"/>
          <w:color w:val="000000"/>
        </w:rPr>
        <w:t>data</w:t>
      </w:r>
    </w:p>
    <w:p w14:paraId="63395DC3" w14:textId="77777777" w:rsidR="0071269B" w:rsidRDefault="0071269B" w:rsidP="0071269B">
      <w:pPr>
        <w:pStyle w:val="ListParagraph"/>
        <w:numPr>
          <w:ilvl w:val="2"/>
          <w:numId w:val="2"/>
        </w:numPr>
        <w:rPr>
          <w:rFonts w:eastAsia="Times New Roman" w:cs="Times New Roman"/>
          <w:color w:val="000000"/>
        </w:rPr>
      </w:pPr>
      <w:r>
        <w:rPr>
          <w:rFonts w:eastAsia="Times New Roman" w:cs="Times New Roman"/>
          <w:color w:val="000000"/>
        </w:rPr>
        <w:t>CEQA/NEPA</w:t>
      </w:r>
    </w:p>
    <w:p w14:paraId="2ACEFD06" w14:textId="241A33D2" w:rsidR="000B6338" w:rsidRDefault="00FA351F" w:rsidP="00423E8F">
      <w:pPr>
        <w:pStyle w:val="ListParagraph"/>
        <w:numPr>
          <w:ilvl w:val="2"/>
          <w:numId w:val="2"/>
        </w:numPr>
        <w:rPr>
          <w:rFonts w:eastAsia="Times New Roman" w:cs="Times New Roman"/>
          <w:color w:val="000000"/>
        </w:rPr>
      </w:pPr>
      <w:r>
        <w:rPr>
          <w:rFonts w:eastAsia="Times New Roman" w:cs="Times New Roman"/>
          <w:color w:val="000000"/>
        </w:rPr>
        <w:t>Contracting challenges</w:t>
      </w:r>
    </w:p>
    <w:p w14:paraId="1C42D1CA" w14:textId="77777777" w:rsidR="00907A68" w:rsidRPr="00423E8F" w:rsidRDefault="00907A68" w:rsidP="00907A68">
      <w:pPr>
        <w:pStyle w:val="ListParagraph"/>
        <w:ind w:left="2160"/>
        <w:rPr>
          <w:rFonts w:eastAsia="Times New Roman" w:cs="Times New Roman"/>
          <w:color w:val="000000"/>
        </w:rPr>
      </w:pPr>
    </w:p>
    <w:p w14:paraId="61CD9A55" w14:textId="77777777" w:rsidR="00673169" w:rsidRDefault="00A700B9" w:rsidP="00673169">
      <w:pPr>
        <w:pStyle w:val="ListParagraph"/>
        <w:numPr>
          <w:ilvl w:val="0"/>
          <w:numId w:val="2"/>
        </w:numPr>
        <w:rPr>
          <w:rFonts w:eastAsia="Times New Roman" w:cs="Times New Roman"/>
          <w:color w:val="000000"/>
        </w:rPr>
      </w:pPr>
      <w:r>
        <w:rPr>
          <w:rFonts w:eastAsia="Times New Roman" w:cs="Times New Roman"/>
          <w:b/>
          <w:color w:val="000000"/>
        </w:rPr>
        <w:t xml:space="preserve">Step </w:t>
      </w:r>
      <w:r w:rsidR="00D55C07">
        <w:rPr>
          <w:rFonts w:eastAsia="Times New Roman" w:cs="Times New Roman"/>
          <w:b/>
          <w:color w:val="000000"/>
        </w:rPr>
        <w:t>3</w:t>
      </w:r>
      <w:r>
        <w:rPr>
          <w:rFonts w:eastAsia="Times New Roman" w:cs="Times New Roman"/>
          <w:b/>
          <w:color w:val="000000"/>
        </w:rPr>
        <w:t>:</w:t>
      </w:r>
      <w:r>
        <w:rPr>
          <w:rFonts w:eastAsia="Times New Roman" w:cs="Times New Roman"/>
          <w:color w:val="000000"/>
        </w:rPr>
        <w:t xml:space="preserve"> </w:t>
      </w:r>
      <w:r w:rsidR="004D5EE6">
        <w:rPr>
          <w:rFonts w:eastAsia="Times New Roman" w:cs="Times New Roman"/>
          <w:b/>
          <w:color w:val="000000"/>
        </w:rPr>
        <w:t>Build the ACCG’s Capacity:</w:t>
      </w:r>
      <w:r w:rsidR="004D5EE6">
        <w:rPr>
          <w:rFonts w:eastAsia="Times New Roman" w:cs="Times New Roman"/>
          <w:color w:val="000000"/>
        </w:rPr>
        <w:t xml:space="preserve"> </w:t>
      </w:r>
      <w:r w:rsidR="000B6338">
        <w:rPr>
          <w:rFonts w:eastAsia="Times New Roman" w:cs="Times New Roman"/>
          <w:color w:val="000000"/>
        </w:rPr>
        <w:t>The formation of a Funding WG</w:t>
      </w:r>
      <w:r w:rsidR="00890561">
        <w:rPr>
          <w:rFonts w:eastAsia="Times New Roman" w:cs="Times New Roman"/>
          <w:color w:val="000000"/>
        </w:rPr>
        <w:t xml:space="preserve"> is one mechanism to assist </w:t>
      </w:r>
      <w:r w:rsidR="000B6338">
        <w:rPr>
          <w:rFonts w:eastAsia="Times New Roman" w:cs="Times New Roman"/>
          <w:color w:val="000000"/>
        </w:rPr>
        <w:t>the ACCG build its capacity. However, there are several stakeholders within the boundaries of the ACCG that are not active members of the collaborative. The ACCG needs to bring more stakeholder</w:t>
      </w:r>
      <w:r w:rsidR="00890561">
        <w:rPr>
          <w:rFonts w:eastAsia="Times New Roman" w:cs="Times New Roman"/>
          <w:color w:val="000000"/>
        </w:rPr>
        <w:t>s</w:t>
      </w:r>
      <w:r w:rsidR="000B6338">
        <w:rPr>
          <w:rFonts w:eastAsia="Times New Roman" w:cs="Times New Roman"/>
          <w:color w:val="000000"/>
        </w:rPr>
        <w:t xml:space="preserve"> into the collaborative to leverage resources</w:t>
      </w:r>
      <w:r w:rsidR="00890561">
        <w:rPr>
          <w:rFonts w:eastAsia="Times New Roman" w:cs="Times New Roman"/>
          <w:color w:val="000000"/>
        </w:rPr>
        <w:t xml:space="preserve"> and to increase pace and scale across the landscape</w:t>
      </w:r>
      <w:r w:rsidR="000B6338">
        <w:rPr>
          <w:rFonts w:eastAsia="Times New Roman" w:cs="Times New Roman"/>
          <w:color w:val="000000"/>
        </w:rPr>
        <w:t xml:space="preserve">. The mapping workshop and funding work group provide opportunities to conduct targeted outreach to key stakeholders. </w:t>
      </w:r>
      <w:r w:rsidR="00423E8F">
        <w:rPr>
          <w:rFonts w:eastAsia="Times New Roman" w:cs="Times New Roman"/>
          <w:color w:val="000000"/>
        </w:rPr>
        <w:t>The ACCG is currently developing a Stakeholder Outreach &amp; Engagement Plan th</w:t>
      </w:r>
      <w:r w:rsidR="00890561">
        <w:rPr>
          <w:rFonts w:eastAsia="Times New Roman" w:cs="Times New Roman"/>
          <w:color w:val="000000"/>
        </w:rPr>
        <w:t>at should be finished to assist strategic outreach efforts in early 2020</w:t>
      </w:r>
      <w:r w:rsidR="00423E8F">
        <w:rPr>
          <w:rFonts w:eastAsia="Times New Roman" w:cs="Times New Roman"/>
          <w:color w:val="000000"/>
        </w:rPr>
        <w:t>.</w:t>
      </w:r>
    </w:p>
    <w:p w14:paraId="27A68FD7" w14:textId="77777777" w:rsidR="00A359F3" w:rsidRDefault="00A359F3" w:rsidP="00A359F3">
      <w:pPr>
        <w:rPr>
          <w:rFonts w:eastAsia="Times New Roman" w:cs="Times New Roman"/>
          <w:color w:val="000000"/>
        </w:rPr>
      </w:pPr>
    </w:p>
    <w:p w14:paraId="3BE8E03B" w14:textId="77777777" w:rsidR="00E94EED" w:rsidRPr="00E94EED" w:rsidRDefault="00E94EED" w:rsidP="00E94EED">
      <w:pPr>
        <w:rPr>
          <w:rFonts w:eastAsia="Times New Roman" w:cs="Times New Roman"/>
          <w:color w:val="000000"/>
        </w:rPr>
      </w:pPr>
    </w:p>
    <w:p w14:paraId="6FEF08F4" w14:textId="77777777" w:rsidR="00E94EED" w:rsidRPr="004D5EE6" w:rsidRDefault="00E94EED" w:rsidP="004D5EE6">
      <w:pPr>
        <w:rPr>
          <w:rFonts w:eastAsia="Times New Roman" w:cs="Times New Roman"/>
          <w:color w:val="000000"/>
        </w:rPr>
      </w:pPr>
      <w:r w:rsidRPr="00E94EED">
        <w:rPr>
          <w:rFonts w:eastAsia="Times New Roman" w:cs="Times New Roman"/>
          <w:color w:val="000000"/>
        </w:rPr>
        <w:t> </w:t>
      </w:r>
    </w:p>
    <w:sectPr w:rsidR="00E94EED" w:rsidRPr="004D5EE6" w:rsidSect="009E2AA7">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42AA5" w14:textId="77777777" w:rsidR="00D1094B" w:rsidRDefault="00D1094B" w:rsidP="00825EA3">
      <w:r>
        <w:separator/>
      </w:r>
    </w:p>
  </w:endnote>
  <w:endnote w:type="continuationSeparator" w:id="0">
    <w:p w14:paraId="10A7CDFE" w14:textId="77777777" w:rsidR="00D1094B" w:rsidRDefault="00D1094B" w:rsidP="0082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10985155"/>
      <w:docPartObj>
        <w:docPartGallery w:val="Page Numbers (Bottom of Page)"/>
        <w:docPartUnique/>
      </w:docPartObj>
    </w:sdtPr>
    <w:sdtEndPr>
      <w:rPr>
        <w:rStyle w:val="PageNumber"/>
      </w:rPr>
    </w:sdtEndPr>
    <w:sdtContent>
      <w:p w14:paraId="513D57E6" w14:textId="77777777" w:rsidR="000C419C" w:rsidRDefault="000C419C" w:rsidP="000B5E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62008D" w14:textId="77777777" w:rsidR="000C419C" w:rsidRDefault="000C419C" w:rsidP="000C41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42049958"/>
      <w:docPartObj>
        <w:docPartGallery w:val="Page Numbers (Bottom of Page)"/>
        <w:docPartUnique/>
      </w:docPartObj>
    </w:sdtPr>
    <w:sdtEndPr>
      <w:rPr>
        <w:rStyle w:val="PageNumber"/>
      </w:rPr>
    </w:sdtEndPr>
    <w:sdtContent>
      <w:p w14:paraId="6795FDC3" w14:textId="77777777" w:rsidR="000C419C" w:rsidRDefault="000C419C" w:rsidP="000B5E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60B86">
          <w:rPr>
            <w:rStyle w:val="PageNumber"/>
            <w:noProof/>
          </w:rPr>
          <w:t>1</w:t>
        </w:r>
        <w:r>
          <w:rPr>
            <w:rStyle w:val="PageNumber"/>
          </w:rPr>
          <w:fldChar w:fldCharType="end"/>
        </w:r>
      </w:p>
    </w:sdtContent>
  </w:sdt>
  <w:p w14:paraId="00350845" w14:textId="77777777" w:rsidR="000C419C" w:rsidRDefault="000C419C" w:rsidP="000C41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CA1A8" w14:textId="77777777" w:rsidR="00D1094B" w:rsidRDefault="00D1094B" w:rsidP="00825EA3">
      <w:r>
        <w:separator/>
      </w:r>
    </w:p>
  </w:footnote>
  <w:footnote w:type="continuationSeparator" w:id="0">
    <w:p w14:paraId="4AC3BCEC" w14:textId="77777777" w:rsidR="00D1094B" w:rsidRDefault="00D1094B" w:rsidP="00825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AE21C" w14:textId="77777777" w:rsidR="00825EA3" w:rsidRPr="00C26E64" w:rsidRDefault="00825EA3" w:rsidP="00825EA3">
    <w:pPr>
      <w:jc w:val="center"/>
      <w:rPr>
        <w:rFonts w:eastAsia="Times New Roman" w:cs="Times New Roman"/>
        <w:b/>
        <w:color w:val="000000"/>
        <w:sz w:val="28"/>
        <w:szCs w:val="28"/>
      </w:rPr>
    </w:pPr>
    <w:r w:rsidRPr="00C26E64">
      <w:rPr>
        <w:rFonts w:eastAsia="Times New Roman" w:cs="Times New Roman"/>
        <w:b/>
        <w:color w:val="000000"/>
        <w:sz w:val="28"/>
        <w:szCs w:val="28"/>
      </w:rPr>
      <w:t>Increasing Pace and Scale on the ACCG Landscape</w:t>
    </w:r>
  </w:p>
  <w:p w14:paraId="3CB12869" w14:textId="77777777" w:rsidR="00825EA3" w:rsidRPr="002B70E2" w:rsidRDefault="00825EA3" w:rsidP="00825EA3">
    <w:pPr>
      <w:jc w:val="center"/>
      <w:rPr>
        <w:rFonts w:eastAsia="Times New Roman" w:cs="Times New Roman"/>
        <w:b/>
        <w:color w:val="000000"/>
      </w:rPr>
    </w:pPr>
    <w:r w:rsidRPr="002B70E2">
      <w:rPr>
        <w:rFonts w:eastAsia="Times New Roman" w:cs="Times New Roman"/>
        <w:b/>
        <w:color w:val="000000"/>
      </w:rPr>
      <w:t>A proposal from the Admin Work Group for the full ACCG’s consideration</w:t>
    </w:r>
  </w:p>
  <w:p w14:paraId="73680E9F" w14:textId="77777777" w:rsidR="00825EA3" w:rsidRPr="002B70E2" w:rsidRDefault="00825EA3" w:rsidP="00825EA3">
    <w:pPr>
      <w:jc w:val="center"/>
      <w:rPr>
        <w:rFonts w:eastAsia="Times New Roman" w:cs="Times New Roman"/>
        <w:b/>
        <w:color w:val="000000"/>
      </w:rPr>
    </w:pPr>
    <w:r w:rsidRPr="002B70E2">
      <w:rPr>
        <w:rFonts w:eastAsia="Times New Roman" w:cs="Times New Roman"/>
        <w:b/>
        <w:color w:val="000000"/>
      </w:rPr>
      <w:t>November 12, 2019</w:t>
    </w:r>
  </w:p>
  <w:p w14:paraId="7A05D8BA" w14:textId="77777777" w:rsidR="00825EA3" w:rsidRDefault="00825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6262B"/>
    <w:multiLevelType w:val="hybridMultilevel"/>
    <w:tmpl w:val="E4DEA714"/>
    <w:lvl w:ilvl="0" w:tplc="5DA6468E">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4A241CDA"/>
    <w:multiLevelType w:val="hybridMultilevel"/>
    <w:tmpl w:val="15522F9E"/>
    <w:lvl w:ilvl="0" w:tplc="5DA6468E">
      <w:start w:val="1"/>
      <w:numFmt w:val="bullet"/>
      <w:lvlText w:val=""/>
      <w:lvlJc w:val="left"/>
      <w:pPr>
        <w:ind w:left="720" w:hanging="360"/>
      </w:pPr>
      <w:rPr>
        <w:rFonts w:ascii="Wingdings" w:hAnsi="Wingding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EED"/>
    <w:rsid w:val="0001293E"/>
    <w:rsid w:val="000212CF"/>
    <w:rsid w:val="0002712D"/>
    <w:rsid w:val="00057C1A"/>
    <w:rsid w:val="00093E94"/>
    <w:rsid w:val="000A2D3E"/>
    <w:rsid w:val="000B6338"/>
    <w:rsid w:val="000C419C"/>
    <w:rsid w:val="000C531C"/>
    <w:rsid w:val="000E6EF2"/>
    <w:rsid w:val="001011E7"/>
    <w:rsid w:val="00125C69"/>
    <w:rsid w:val="00147FA8"/>
    <w:rsid w:val="0015502B"/>
    <w:rsid w:val="001A0209"/>
    <w:rsid w:val="001A0F0B"/>
    <w:rsid w:val="001E4467"/>
    <w:rsid w:val="001E511E"/>
    <w:rsid w:val="0024158C"/>
    <w:rsid w:val="00257A08"/>
    <w:rsid w:val="002A5CA2"/>
    <w:rsid w:val="002B70E2"/>
    <w:rsid w:val="002E0119"/>
    <w:rsid w:val="00313B6E"/>
    <w:rsid w:val="00321C9E"/>
    <w:rsid w:val="0035095C"/>
    <w:rsid w:val="0037365D"/>
    <w:rsid w:val="0038156C"/>
    <w:rsid w:val="003A35BD"/>
    <w:rsid w:val="003C6C34"/>
    <w:rsid w:val="00413F09"/>
    <w:rsid w:val="00423E8F"/>
    <w:rsid w:val="004377DF"/>
    <w:rsid w:val="004B68B4"/>
    <w:rsid w:val="004D5EE6"/>
    <w:rsid w:val="004E26AA"/>
    <w:rsid w:val="004F6DEE"/>
    <w:rsid w:val="005277F8"/>
    <w:rsid w:val="005470D7"/>
    <w:rsid w:val="00565AD2"/>
    <w:rsid w:val="005A0914"/>
    <w:rsid w:val="005A3F5C"/>
    <w:rsid w:val="005D5544"/>
    <w:rsid w:val="005E4657"/>
    <w:rsid w:val="00634577"/>
    <w:rsid w:val="00653A35"/>
    <w:rsid w:val="00660F52"/>
    <w:rsid w:val="00673169"/>
    <w:rsid w:val="0068432D"/>
    <w:rsid w:val="006A4643"/>
    <w:rsid w:val="006B4013"/>
    <w:rsid w:val="0070231D"/>
    <w:rsid w:val="0071269B"/>
    <w:rsid w:val="00722630"/>
    <w:rsid w:val="00730121"/>
    <w:rsid w:val="00741E4C"/>
    <w:rsid w:val="00785AFB"/>
    <w:rsid w:val="007D383A"/>
    <w:rsid w:val="007F2FDA"/>
    <w:rsid w:val="007F45CA"/>
    <w:rsid w:val="00807FD0"/>
    <w:rsid w:val="00823F19"/>
    <w:rsid w:val="00825EA3"/>
    <w:rsid w:val="0084521F"/>
    <w:rsid w:val="00887537"/>
    <w:rsid w:val="00890561"/>
    <w:rsid w:val="00907A68"/>
    <w:rsid w:val="00920E23"/>
    <w:rsid w:val="00973A5C"/>
    <w:rsid w:val="0097601B"/>
    <w:rsid w:val="009E2AA7"/>
    <w:rsid w:val="009F650B"/>
    <w:rsid w:val="009F777A"/>
    <w:rsid w:val="00A1675B"/>
    <w:rsid w:val="00A23204"/>
    <w:rsid w:val="00A359F3"/>
    <w:rsid w:val="00A556CC"/>
    <w:rsid w:val="00A700B9"/>
    <w:rsid w:val="00AE1066"/>
    <w:rsid w:val="00B21CC4"/>
    <w:rsid w:val="00B759D4"/>
    <w:rsid w:val="00BA7066"/>
    <w:rsid w:val="00C037F4"/>
    <w:rsid w:val="00C2236C"/>
    <w:rsid w:val="00C26E64"/>
    <w:rsid w:val="00C515A7"/>
    <w:rsid w:val="00C96F82"/>
    <w:rsid w:val="00CB3AD4"/>
    <w:rsid w:val="00CE08C1"/>
    <w:rsid w:val="00CE1F2B"/>
    <w:rsid w:val="00D05DD0"/>
    <w:rsid w:val="00D1094B"/>
    <w:rsid w:val="00D16778"/>
    <w:rsid w:val="00D55C07"/>
    <w:rsid w:val="00D60B86"/>
    <w:rsid w:val="00D67F48"/>
    <w:rsid w:val="00DA74C2"/>
    <w:rsid w:val="00DC3CFD"/>
    <w:rsid w:val="00DC4FC1"/>
    <w:rsid w:val="00E04BF0"/>
    <w:rsid w:val="00E21B0F"/>
    <w:rsid w:val="00E51970"/>
    <w:rsid w:val="00E536B6"/>
    <w:rsid w:val="00E60DD5"/>
    <w:rsid w:val="00E6449D"/>
    <w:rsid w:val="00E76613"/>
    <w:rsid w:val="00E83184"/>
    <w:rsid w:val="00E92D00"/>
    <w:rsid w:val="00E94EED"/>
    <w:rsid w:val="00EA73CD"/>
    <w:rsid w:val="00EB4F93"/>
    <w:rsid w:val="00F00618"/>
    <w:rsid w:val="00F14FBF"/>
    <w:rsid w:val="00F27FC7"/>
    <w:rsid w:val="00F70C14"/>
    <w:rsid w:val="00FA351F"/>
    <w:rsid w:val="00FA3AF8"/>
    <w:rsid w:val="00FB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A0E48"/>
  <w15:chartTrackingRefBased/>
  <w15:docId w15:val="{01B80094-FA28-A34E-A46A-FDC75E29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25C6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4EED"/>
  </w:style>
  <w:style w:type="paragraph" w:styleId="ListParagraph">
    <w:name w:val="List Paragraph"/>
    <w:basedOn w:val="Normal"/>
    <w:uiPriority w:val="34"/>
    <w:qFormat/>
    <w:rsid w:val="00F27FC7"/>
    <w:pPr>
      <w:ind w:left="720"/>
      <w:contextualSpacing/>
    </w:pPr>
  </w:style>
  <w:style w:type="paragraph" w:customStyle="1" w:styleId="Default">
    <w:name w:val="Default"/>
    <w:rsid w:val="00EB4F93"/>
    <w:pPr>
      <w:autoSpaceDE w:val="0"/>
      <w:autoSpaceDN w:val="0"/>
      <w:adjustRightInd w:val="0"/>
    </w:pPr>
    <w:rPr>
      <w:rFonts w:ascii="Century Gothic" w:hAnsi="Century Gothic" w:cs="Century Gothic"/>
      <w:color w:val="000000"/>
    </w:rPr>
  </w:style>
  <w:style w:type="paragraph" w:styleId="Header">
    <w:name w:val="header"/>
    <w:basedOn w:val="Normal"/>
    <w:link w:val="HeaderChar"/>
    <w:uiPriority w:val="99"/>
    <w:unhideWhenUsed/>
    <w:rsid w:val="00825EA3"/>
    <w:pPr>
      <w:tabs>
        <w:tab w:val="center" w:pos="4680"/>
        <w:tab w:val="right" w:pos="9360"/>
      </w:tabs>
    </w:pPr>
  </w:style>
  <w:style w:type="character" w:customStyle="1" w:styleId="HeaderChar">
    <w:name w:val="Header Char"/>
    <w:basedOn w:val="DefaultParagraphFont"/>
    <w:link w:val="Header"/>
    <w:uiPriority w:val="99"/>
    <w:rsid w:val="00825EA3"/>
  </w:style>
  <w:style w:type="paragraph" w:styleId="Footer">
    <w:name w:val="footer"/>
    <w:basedOn w:val="Normal"/>
    <w:link w:val="FooterChar"/>
    <w:uiPriority w:val="99"/>
    <w:unhideWhenUsed/>
    <w:rsid w:val="00825EA3"/>
    <w:pPr>
      <w:tabs>
        <w:tab w:val="center" w:pos="4680"/>
        <w:tab w:val="right" w:pos="9360"/>
      </w:tabs>
    </w:pPr>
  </w:style>
  <w:style w:type="character" w:customStyle="1" w:styleId="FooterChar">
    <w:name w:val="Footer Char"/>
    <w:basedOn w:val="DefaultParagraphFont"/>
    <w:link w:val="Footer"/>
    <w:uiPriority w:val="99"/>
    <w:rsid w:val="00825EA3"/>
  </w:style>
  <w:style w:type="character" w:customStyle="1" w:styleId="Heading2Char">
    <w:name w:val="Heading 2 Char"/>
    <w:basedOn w:val="DefaultParagraphFont"/>
    <w:link w:val="Heading2"/>
    <w:uiPriority w:val="9"/>
    <w:rsid w:val="00125C69"/>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0C419C"/>
  </w:style>
  <w:style w:type="character" w:styleId="CommentReference">
    <w:name w:val="annotation reference"/>
    <w:basedOn w:val="DefaultParagraphFont"/>
    <w:uiPriority w:val="99"/>
    <w:semiHidden/>
    <w:unhideWhenUsed/>
    <w:rsid w:val="00FA351F"/>
    <w:rPr>
      <w:sz w:val="16"/>
      <w:szCs w:val="16"/>
    </w:rPr>
  </w:style>
  <w:style w:type="paragraph" w:styleId="CommentText">
    <w:name w:val="annotation text"/>
    <w:basedOn w:val="Normal"/>
    <w:link w:val="CommentTextChar"/>
    <w:uiPriority w:val="99"/>
    <w:semiHidden/>
    <w:unhideWhenUsed/>
    <w:rsid w:val="00FA351F"/>
    <w:rPr>
      <w:sz w:val="20"/>
      <w:szCs w:val="20"/>
    </w:rPr>
  </w:style>
  <w:style w:type="character" w:customStyle="1" w:styleId="CommentTextChar">
    <w:name w:val="Comment Text Char"/>
    <w:basedOn w:val="DefaultParagraphFont"/>
    <w:link w:val="CommentText"/>
    <w:uiPriority w:val="99"/>
    <w:semiHidden/>
    <w:rsid w:val="00FA351F"/>
    <w:rPr>
      <w:sz w:val="20"/>
      <w:szCs w:val="20"/>
    </w:rPr>
  </w:style>
  <w:style w:type="paragraph" w:styleId="CommentSubject">
    <w:name w:val="annotation subject"/>
    <w:basedOn w:val="CommentText"/>
    <w:next w:val="CommentText"/>
    <w:link w:val="CommentSubjectChar"/>
    <w:uiPriority w:val="99"/>
    <w:semiHidden/>
    <w:unhideWhenUsed/>
    <w:rsid w:val="00FA351F"/>
    <w:rPr>
      <w:b/>
      <w:bCs/>
    </w:rPr>
  </w:style>
  <w:style w:type="character" w:customStyle="1" w:styleId="CommentSubjectChar">
    <w:name w:val="Comment Subject Char"/>
    <w:basedOn w:val="CommentTextChar"/>
    <w:link w:val="CommentSubject"/>
    <w:uiPriority w:val="99"/>
    <w:semiHidden/>
    <w:rsid w:val="00FA351F"/>
    <w:rPr>
      <w:b/>
      <w:bCs/>
      <w:sz w:val="20"/>
      <w:szCs w:val="20"/>
    </w:rPr>
  </w:style>
  <w:style w:type="paragraph" w:styleId="Revision">
    <w:name w:val="Revision"/>
    <w:hidden/>
    <w:uiPriority w:val="99"/>
    <w:semiHidden/>
    <w:rsid w:val="00FA351F"/>
  </w:style>
  <w:style w:type="paragraph" w:styleId="BalloonText">
    <w:name w:val="Balloon Text"/>
    <w:basedOn w:val="Normal"/>
    <w:link w:val="BalloonTextChar"/>
    <w:uiPriority w:val="99"/>
    <w:semiHidden/>
    <w:unhideWhenUsed/>
    <w:rsid w:val="00FA35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35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408738">
      <w:bodyDiv w:val="1"/>
      <w:marLeft w:val="0"/>
      <w:marRight w:val="0"/>
      <w:marTop w:val="0"/>
      <w:marBottom w:val="0"/>
      <w:divBdr>
        <w:top w:val="none" w:sz="0" w:space="0" w:color="auto"/>
        <w:left w:val="none" w:sz="0" w:space="0" w:color="auto"/>
        <w:bottom w:val="none" w:sz="0" w:space="0" w:color="auto"/>
        <w:right w:val="none" w:sz="0" w:space="0" w:color="auto"/>
      </w:divBdr>
      <w:divsChild>
        <w:div w:id="996689629">
          <w:marLeft w:val="0"/>
          <w:marRight w:val="0"/>
          <w:marTop w:val="0"/>
          <w:marBottom w:val="0"/>
          <w:divBdr>
            <w:top w:val="none" w:sz="0" w:space="0" w:color="auto"/>
            <w:left w:val="none" w:sz="0" w:space="0" w:color="auto"/>
            <w:bottom w:val="none" w:sz="0" w:space="0" w:color="auto"/>
            <w:right w:val="none" w:sz="0" w:space="0" w:color="auto"/>
          </w:divBdr>
        </w:div>
        <w:div w:id="680594000">
          <w:marLeft w:val="0"/>
          <w:marRight w:val="0"/>
          <w:marTop w:val="0"/>
          <w:marBottom w:val="0"/>
          <w:divBdr>
            <w:top w:val="none" w:sz="0" w:space="0" w:color="auto"/>
            <w:left w:val="none" w:sz="0" w:space="0" w:color="auto"/>
            <w:bottom w:val="none" w:sz="0" w:space="0" w:color="auto"/>
            <w:right w:val="none" w:sz="0" w:space="0" w:color="auto"/>
          </w:divBdr>
        </w:div>
        <w:div w:id="520243789">
          <w:marLeft w:val="0"/>
          <w:marRight w:val="0"/>
          <w:marTop w:val="0"/>
          <w:marBottom w:val="0"/>
          <w:divBdr>
            <w:top w:val="none" w:sz="0" w:space="0" w:color="auto"/>
            <w:left w:val="none" w:sz="0" w:space="0" w:color="auto"/>
            <w:bottom w:val="none" w:sz="0" w:space="0" w:color="auto"/>
            <w:right w:val="none" w:sz="0" w:space="0" w:color="auto"/>
          </w:divBdr>
        </w:div>
        <w:div w:id="118568255">
          <w:marLeft w:val="0"/>
          <w:marRight w:val="0"/>
          <w:marTop w:val="0"/>
          <w:marBottom w:val="0"/>
          <w:divBdr>
            <w:top w:val="none" w:sz="0" w:space="0" w:color="auto"/>
            <w:left w:val="none" w:sz="0" w:space="0" w:color="auto"/>
            <w:bottom w:val="none" w:sz="0" w:space="0" w:color="auto"/>
            <w:right w:val="none" w:sz="0" w:space="0" w:color="auto"/>
          </w:divBdr>
        </w:div>
        <w:div w:id="1526358541">
          <w:marLeft w:val="0"/>
          <w:marRight w:val="0"/>
          <w:marTop w:val="0"/>
          <w:marBottom w:val="0"/>
          <w:divBdr>
            <w:top w:val="none" w:sz="0" w:space="0" w:color="auto"/>
            <w:left w:val="none" w:sz="0" w:space="0" w:color="auto"/>
            <w:bottom w:val="none" w:sz="0" w:space="0" w:color="auto"/>
            <w:right w:val="none" w:sz="0" w:space="0" w:color="auto"/>
          </w:divBdr>
        </w:div>
        <w:div w:id="1087386754">
          <w:marLeft w:val="0"/>
          <w:marRight w:val="0"/>
          <w:marTop w:val="0"/>
          <w:marBottom w:val="0"/>
          <w:divBdr>
            <w:top w:val="none" w:sz="0" w:space="0" w:color="auto"/>
            <w:left w:val="none" w:sz="0" w:space="0" w:color="auto"/>
            <w:bottom w:val="none" w:sz="0" w:space="0" w:color="auto"/>
            <w:right w:val="none" w:sz="0" w:space="0" w:color="auto"/>
          </w:divBdr>
        </w:div>
        <w:div w:id="92558867">
          <w:marLeft w:val="0"/>
          <w:marRight w:val="0"/>
          <w:marTop w:val="0"/>
          <w:marBottom w:val="0"/>
          <w:divBdr>
            <w:top w:val="none" w:sz="0" w:space="0" w:color="auto"/>
            <w:left w:val="none" w:sz="0" w:space="0" w:color="auto"/>
            <w:bottom w:val="none" w:sz="0" w:space="0" w:color="auto"/>
            <w:right w:val="none" w:sz="0" w:space="0" w:color="auto"/>
          </w:divBdr>
        </w:div>
      </w:divsChild>
    </w:div>
    <w:div w:id="1297178255">
      <w:bodyDiv w:val="1"/>
      <w:marLeft w:val="0"/>
      <w:marRight w:val="0"/>
      <w:marTop w:val="0"/>
      <w:marBottom w:val="0"/>
      <w:divBdr>
        <w:top w:val="none" w:sz="0" w:space="0" w:color="auto"/>
        <w:left w:val="none" w:sz="0" w:space="0" w:color="auto"/>
        <w:bottom w:val="none" w:sz="0" w:space="0" w:color="auto"/>
        <w:right w:val="none" w:sz="0" w:space="0" w:color="auto"/>
      </w:divBdr>
      <w:divsChild>
        <w:div w:id="91242938">
          <w:marLeft w:val="0"/>
          <w:marRight w:val="0"/>
          <w:marTop w:val="0"/>
          <w:marBottom w:val="0"/>
          <w:divBdr>
            <w:top w:val="none" w:sz="0" w:space="0" w:color="auto"/>
            <w:left w:val="none" w:sz="0" w:space="0" w:color="auto"/>
            <w:bottom w:val="none" w:sz="0" w:space="0" w:color="auto"/>
            <w:right w:val="none" w:sz="0" w:space="0" w:color="auto"/>
          </w:divBdr>
        </w:div>
        <w:div w:id="399594311">
          <w:marLeft w:val="0"/>
          <w:marRight w:val="0"/>
          <w:marTop w:val="0"/>
          <w:marBottom w:val="0"/>
          <w:divBdr>
            <w:top w:val="none" w:sz="0" w:space="0" w:color="auto"/>
            <w:left w:val="none" w:sz="0" w:space="0" w:color="auto"/>
            <w:bottom w:val="none" w:sz="0" w:space="0" w:color="auto"/>
            <w:right w:val="none" w:sz="0" w:space="0" w:color="auto"/>
          </w:divBdr>
        </w:div>
        <w:div w:id="2065523919">
          <w:marLeft w:val="0"/>
          <w:marRight w:val="0"/>
          <w:marTop w:val="0"/>
          <w:marBottom w:val="0"/>
          <w:divBdr>
            <w:top w:val="none" w:sz="0" w:space="0" w:color="auto"/>
            <w:left w:val="none" w:sz="0" w:space="0" w:color="auto"/>
            <w:bottom w:val="none" w:sz="0" w:space="0" w:color="auto"/>
            <w:right w:val="none" w:sz="0" w:space="0" w:color="auto"/>
          </w:divBdr>
        </w:div>
        <w:div w:id="2007517084">
          <w:marLeft w:val="0"/>
          <w:marRight w:val="0"/>
          <w:marTop w:val="0"/>
          <w:marBottom w:val="0"/>
          <w:divBdr>
            <w:top w:val="none" w:sz="0" w:space="0" w:color="auto"/>
            <w:left w:val="none" w:sz="0" w:space="0" w:color="auto"/>
            <w:bottom w:val="none" w:sz="0" w:space="0" w:color="auto"/>
            <w:right w:val="none" w:sz="0" w:space="0" w:color="auto"/>
          </w:divBdr>
        </w:div>
        <w:div w:id="1483695990">
          <w:marLeft w:val="0"/>
          <w:marRight w:val="0"/>
          <w:marTop w:val="0"/>
          <w:marBottom w:val="0"/>
          <w:divBdr>
            <w:top w:val="none" w:sz="0" w:space="0" w:color="auto"/>
            <w:left w:val="none" w:sz="0" w:space="0" w:color="auto"/>
            <w:bottom w:val="none" w:sz="0" w:space="0" w:color="auto"/>
            <w:right w:val="none" w:sz="0" w:space="0" w:color="auto"/>
          </w:divBdr>
        </w:div>
        <w:div w:id="1014378561">
          <w:marLeft w:val="0"/>
          <w:marRight w:val="0"/>
          <w:marTop w:val="0"/>
          <w:marBottom w:val="0"/>
          <w:divBdr>
            <w:top w:val="none" w:sz="0" w:space="0" w:color="auto"/>
            <w:left w:val="none" w:sz="0" w:space="0" w:color="auto"/>
            <w:bottom w:val="none" w:sz="0" w:space="0" w:color="auto"/>
            <w:right w:val="none" w:sz="0" w:space="0" w:color="auto"/>
          </w:divBdr>
        </w:div>
        <w:div w:id="1078137761">
          <w:marLeft w:val="0"/>
          <w:marRight w:val="0"/>
          <w:marTop w:val="0"/>
          <w:marBottom w:val="0"/>
          <w:divBdr>
            <w:top w:val="none" w:sz="0" w:space="0" w:color="auto"/>
            <w:left w:val="none" w:sz="0" w:space="0" w:color="auto"/>
            <w:bottom w:val="none" w:sz="0" w:space="0" w:color="auto"/>
            <w:right w:val="none" w:sz="0" w:space="0" w:color="auto"/>
          </w:divBdr>
        </w:div>
        <w:div w:id="675032892">
          <w:marLeft w:val="0"/>
          <w:marRight w:val="0"/>
          <w:marTop w:val="0"/>
          <w:marBottom w:val="0"/>
          <w:divBdr>
            <w:top w:val="none" w:sz="0" w:space="0" w:color="auto"/>
            <w:left w:val="none" w:sz="0" w:space="0" w:color="auto"/>
            <w:bottom w:val="none" w:sz="0" w:space="0" w:color="auto"/>
            <w:right w:val="none" w:sz="0" w:space="0" w:color="auto"/>
          </w:divBdr>
        </w:div>
        <w:div w:id="873615206">
          <w:marLeft w:val="0"/>
          <w:marRight w:val="0"/>
          <w:marTop w:val="0"/>
          <w:marBottom w:val="0"/>
          <w:divBdr>
            <w:top w:val="none" w:sz="0" w:space="0" w:color="auto"/>
            <w:left w:val="none" w:sz="0" w:space="0" w:color="auto"/>
            <w:bottom w:val="none" w:sz="0" w:space="0" w:color="auto"/>
            <w:right w:val="none" w:sz="0" w:space="0" w:color="auto"/>
          </w:divBdr>
        </w:div>
        <w:div w:id="742603993">
          <w:marLeft w:val="0"/>
          <w:marRight w:val="0"/>
          <w:marTop w:val="0"/>
          <w:marBottom w:val="0"/>
          <w:divBdr>
            <w:top w:val="none" w:sz="0" w:space="0" w:color="auto"/>
            <w:left w:val="none" w:sz="0" w:space="0" w:color="auto"/>
            <w:bottom w:val="none" w:sz="0" w:space="0" w:color="auto"/>
            <w:right w:val="none" w:sz="0" w:space="0" w:color="auto"/>
          </w:divBdr>
        </w:div>
        <w:div w:id="1576279715">
          <w:marLeft w:val="0"/>
          <w:marRight w:val="0"/>
          <w:marTop w:val="0"/>
          <w:marBottom w:val="0"/>
          <w:divBdr>
            <w:top w:val="none" w:sz="0" w:space="0" w:color="auto"/>
            <w:left w:val="none" w:sz="0" w:space="0" w:color="auto"/>
            <w:bottom w:val="none" w:sz="0" w:space="0" w:color="auto"/>
            <w:right w:val="none" w:sz="0" w:space="0" w:color="auto"/>
          </w:divBdr>
        </w:div>
        <w:div w:id="1608581582">
          <w:marLeft w:val="0"/>
          <w:marRight w:val="0"/>
          <w:marTop w:val="0"/>
          <w:marBottom w:val="0"/>
          <w:divBdr>
            <w:top w:val="none" w:sz="0" w:space="0" w:color="auto"/>
            <w:left w:val="none" w:sz="0" w:space="0" w:color="auto"/>
            <w:bottom w:val="none" w:sz="0" w:space="0" w:color="auto"/>
            <w:right w:val="none" w:sz="0" w:space="0" w:color="auto"/>
          </w:divBdr>
        </w:div>
        <w:div w:id="957876213">
          <w:marLeft w:val="0"/>
          <w:marRight w:val="0"/>
          <w:marTop w:val="0"/>
          <w:marBottom w:val="0"/>
          <w:divBdr>
            <w:top w:val="none" w:sz="0" w:space="0" w:color="auto"/>
            <w:left w:val="none" w:sz="0" w:space="0" w:color="auto"/>
            <w:bottom w:val="none" w:sz="0" w:space="0" w:color="auto"/>
            <w:right w:val="none" w:sz="0" w:space="0" w:color="auto"/>
          </w:divBdr>
        </w:div>
        <w:div w:id="1481380180">
          <w:marLeft w:val="0"/>
          <w:marRight w:val="0"/>
          <w:marTop w:val="0"/>
          <w:marBottom w:val="0"/>
          <w:divBdr>
            <w:top w:val="none" w:sz="0" w:space="0" w:color="auto"/>
            <w:left w:val="none" w:sz="0" w:space="0" w:color="auto"/>
            <w:bottom w:val="none" w:sz="0" w:space="0" w:color="auto"/>
            <w:right w:val="none" w:sz="0" w:space="0" w:color="auto"/>
          </w:divBdr>
        </w:div>
      </w:divsChild>
    </w:div>
    <w:div w:id="170467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277DCB-EF2D-104C-9193-14190C4F098F}" type="doc">
      <dgm:prSet loTypeId="urn:microsoft.com/office/officeart/2009/layout/CircleArrowProcess" loCatId="" qsTypeId="urn:microsoft.com/office/officeart/2005/8/quickstyle/simple1" qsCatId="simple" csTypeId="urn:microsoft.com/office/officeart/2005/8/colors/accent6_1" csCatId="accent6" phldr="1"/>
      <dgm:spPr/>
      <dgm:t>
        <a:bodyPr/>
        <a:lstStyle/>
        <a:p>
          <a:endParaRPr lang="en-US"/>
        </a:p>
      </dgm:t>
    </dgm:pt>
    <dgm:pt modelId="{E38BECC0-B67F-6249-BE70-9E7A8B0DFAD7}">
      <dgm:prSet phldrT="[Text]"/>
      <dgm:spPr/>
      <dgm:t>
        <a:bodyPr/>
        <a:lstStyle/>
        <a:p>
          <a:r>
            <a:rPr lang="en-US"/>
            <a:t>Develop essential project planning tools</a:t>
          </a:r>
        </a:p>
      </dgm:t>
    </dgm:pt>
    <dgm:pt modelId="{5B1615A8-E793-1440-8340-ADDAE42F35C5}" type="parTrans" cxnId="{0EC3334D-14C3-3040-9945-3F74FCAD1A87}">
      <dgm:prSet/>
      <dgm:spPr/>
      <dgm:t>
        <a:bodyPr/>
        <a:lstStyle/>
        <a:p>
          <a:endParaRPr lang="en-US"/>
        </a:p>
      </dgm:t>
    </dgm:pt>
    <dgm:pt modelId="{40572FD7-1E32-7F45-9DC8-055C070043A4}" type="sibTrans" cxnId="{0EC3334D-14C3-3040-9945-3F74FCAD1A87}">
      <dgm:prSet/>
      <dgm:spPr/>
      <dgm:t>
        <a:bodyPr/>
        <a:lstStyle/>
        <a:p>
          <a:endParaRPr lang="en-US"/>
        </a:p>
      </dgm:t>
    </dgm:pt>
    <dgm:pt modelId="{8D36B3E4-F505-0C4B-9734-109F6FD7178F}">
      <dgm:prSet phldrT="[Text]"/>
      <dgm:spPr/>
      <dgm:t>
        <a:bodyPr/>
        <a:lstStyle/>
        <a:p>
          <a:r>
            <a:rPr lang="en-US"/>
            <a:t>Refine ACCG organizational structure</a:t>
          </a:r>
        </a:p>
      </dgm:t>
    </dgm:pt>
    <dgm:pt modelId="{0B1AFD36-8A84-AB4D-93A8-2ACB08284B65}" type="parTrans" cxnId="{5DFF14CB-1AA8-454C-8781-4E82434166D1}">
      <dgm:prSet/>
      <dgm:spPr/>
      <dgm:t>
        <a:bodyPr/>
        <a:lstStyle/>
        <a:p>
          <a:endParaRPr lang="en-US"/>
        </a:p>
      </dgm:t>
    </dgm:pt>
    <dgm:pt modelId="{6FE12313-377F-6943-BE81-3D846D252C2E}" type="sibTrans" cxnId="{5DFF14CB-1AA8-454C-8781-4E82434166D1}">
      <dgm:prSet/>
      <dgm:spPr/>
      <dgm:t>
        <a:bodyPr/>
        <a:lstStyle/>
        <a:p>
          <a:endParaRPr lang="en-US"/>
        </a:p>
      </dgm:t>
    </dgm:pt>
    <dgm:pt modelId="{4DAF78FB-2E79-6846-B4D5-96BBF76FC0D3}">
      <dgm:prSet phldrT="[Text]"/>
      <dgm:spPr/>
      <dgm:t>
        <a:bodyPr/>
        <a:lstStyle/>
        <a:p>
          <a:r>
            <a:rPr lang="en-US"/>
            <a:t>Build capacity</a:t>
          </a:r>
        </a:p>
      </dgm:t>
    </dgm:pt>
    <dgm:pt modelId="{1077B41E-75B0-D94C-8DF9-840BD5D09378}" type="parTrans" cxnId="{8A4EF2FF-51B8-EE49-80FD-9744A4788FA1}">
      <dgm:prSet/>
      <dgm:spPr/>
      <dgm:t>
        <a:bodyPr/>
        <a:lstStyle/>
        <a:p>
          <a:endParaRPr lang="en-US"/>
        </a:p>
      </dgm:t>
    </dgm:pt>
    <dgm:pt modelId="{36ED2452-2E1F-9048-8F81-DD6BE29A474D}" type="sibTrans" cxnId="{8A4EF2FF-51B8-EE49-80FD-9744A4788FA1}">
      <dgm:prSet/>
      <dgm:spPr/>
      <dgm:t>
        <a:bodyPr/>
        <a:lstStyle/>
        <a:p>
          <a:endParaRPr lang="en-US"/>
        </a:p>
      </dgm:t>
    </dgm:pt>
    <dgm:pt modelId="{7FE6F033-2E84-954C-B7DD-5D90C6DE0587}" type="pres">
      <dgm:prSet presAssocID="{9D277DCB-EF2D-104C-9193-14190C4F098F}" presName="Name0" presStyleCnt="0">
        <dgm:presLayoutVars>
          <dgm:chMax val="7"/>
          <dgm:chPref val="7"/>
          <dgm:dir/>
          <dgm:animLvl val="lvl"/>
        </dgm:presLayoutVars>
      </dgm:prSet>
      <dgm:spPr/>
      <dgm:t>
        <a:bodyPr/>
        <a:lstStyle/>
        <a:p>
          <a:endParaRPr lang="en-US"/>
        </a:p>
      </dgm:t>
    </dgm:pt>
    <dgm:pt modelId="{4A4202F7-0744-3A4C-9D90-D40568739E75}" type="pres">
      <dgm:prSet presAssocID="{E38BECC0-B67F-6249-BE70-9E7A8B0DFAD7}" presName="Accent1" presStyleCnt="0"/>
      <dgm:spPr/>
    </dgm:pt>
    <dgm:pt modelId="{A8A98095-2F9A-134C-BDD9-5D4199083EDB}" type="pres">
      <dgm:prSet presAssocID="{E38BECC0-B67F-6249-BE70-9E7A8B0DFAD7}" presName="Accent" presStyleLbl="node1" presStyleIdx="0" presStyleCnt="3"/>
      <dgm:spPr/>
    </dgm:pt>
    <dgm:pt modelId="{DA277B2F-D91C-D24B-AA78-23C04C7A9587}" type="pres">
      <dgm:prSet presAssocID="{E38BECC0-B67F-6249-BE70-9E7A8B0DFAD7}" presName="Parent1" presStyleLbl="revTx" presStyleIdx="0" presStyleCnt="3">
        <dgm:presLayoutVars>
          <dgm:chMax val="1"/>
          <dgm:chPref val="1"/>
          <dgm:bulletEnabled val="1"/>
        </dgm:presLayoutVars>
      </dgm:prSet>
      <dgm:spPr/>
      <dgm:t>
        <a:bodyPr/>
        <a:lstStyle/>
        <a:p>
          <a:endParaRPr lang="en-US"/>
        </a:p>
      </dgm:t>
    </dgm:pt>
    <dgm:pt modelId="{49D48FA6-6E63-E844-AF92-D28E78669B24}" type="pres">
      <dgm:prSet presAssocID="{8D36B3E4-F505-0C4B-9734-109F6FD7178F}" presName="Accent2" presStyleCnt="0"/>
      <dgm:spPr/>
    </dgm:pt>
    <dgm:pt modelId="{E010CF6F-872F-D74D-A7E7-AA928A0E7022}" type="pres">
      <dgm:prSet presAssocID="{8D36B3E4-F505-0C4B-9734-109F6FD7178F}" presName="Accent" presStyleLbl="node1" presStyleIdx="1" presStyleCnt="3"/>
      <dgm:spPr/>
    </dgm:pt>
    <dgm:pt modelId="{377D2706-5BE1-C64A-97A5-A87DD0890830}" type="pres">
      <dgm:prSet presAssocID="{8D36B3E4-F505-0C4B-9734-109F6FD7178F}" presName="Parent2" presStyleLbl="revTx" presStyleIdx="1" presStyleCnt="3">
        <dgm:presLayoutVars>
          <dgm:chMax val="1"/>
          <dgm:chPref val="1"/>
          <dgm:bulletEnabled val="1"/>
        </dgm:presLayoutVars>
      </dgm:prSet>
      <dgm:spPr/>
      <dgm:t>
        <a:bodyPr/>
        <a:lstStyle/>
        <a:p>
          <a:endParaRPr lang="en-US"/>
        </a:p>
      </dgm:t>
    </dgm:pt>
    <dgm:pt modelId="{72DB9E23-C9C5-BB4B-8661-9024C1A894D5}" type="pres">
      <dgm:prSet presAssocID="{4DAF78FB-2E79-6846-B4D5-96BBF76FC0D3}" presName="Accent3" presStyleCnt="0"/>
      <dgm:spPr/>
    </dgm:pt>
    <dgm:pt modelId="{F194C2F3-1D77-9D4B-963E-5FB96B24BF1E}" type="pres">
      <dgm:prSet presAssocID="{4DAF78FB-2E79-6846-B4D5-96BBF76FC0D3}" presName="Accent" presStyleLbl="node1" presStyleIdx="2" presStyleCnt="3"/>
      <dgm:spPr/>
    </dgm:pt>
    <dgm:pt modelId="{2CF3BA37-CB1F-2A42-B475-D31FF9617D3A}" type="pres">
      <dgm:prSet presAssocID="{4DAF78FB-2E79-6846-B4D5-96BBF76FC0D3}" presName="Parent3" presStyleLbl="revTx" presStyleIdx="2" presStyleCnt="3">
        <dgm:presLayoutVars>
          <dgm:chMax val="1"/>
          <dgm:chPref val="1"/>
          <dgm:bulletEnabled val="1"/>
        </dgm:presLayoutVars>
      </dgm:prSet>
      <dgm:spPr/>
      <dgm:t>
        <a:bodyPr/>
        <a:lstStyle/>
        <a:p>
          <a:endParaRPr lang="en-US"/>
        </a:p>
      </dgm:t>
    </dgm:pt>
  </dgm:ptLst>
  <dgm:cxnLst>
    <dgm:cxn modelId="{5DFF14CB-1AA8-454C-8781-4E82434166D1}" srcId="{9D277DCB-EF2D-104C-9193-14190C4F098F}" destId="{8D36B3E4-F505-0C4B-9734-109F6FD7178F}" srcOrd="1" destOrd="0" parTransId="{0B1AFD36-8A84-AB4D-93A8-2ACB08284B65}" sibTransId="{6FE12313-377F-6943-BE81-3D846D252C2E}"/>
    <dgm:cxn modelId="{8A4EF2FF-51B8-EE49-80FD-9744A4788FA1}" srcId="{9D277DCB-EF2D-104C-9193-14190C4F098F}" destId="{4DAF78FB-2E79-6846-B4D5-96BBF76FC0D3}" srcOrd="2" destOrd="0" parTransId="{1077B41E-75B0-D94C-8DF9-840BD5D09378}" sibTransId="{36ED2452-2E1F-9048-8F81-DD6BE29A474D}"/>
    <dgm:cxn modelId="{BDE32EBF-0C8F-4C74-944B-3D2931BA409A}" type="presOf" srcId="{E38BECC0-B67F-6249-BE70-9E7A8B0DFAD7}" destId="{DA277B2F-D91C-D24B-AA78-23C04C7A9587}" srcOrd="0" destOrd="0" presId="urn:microsoft.com/office/officeart/2009/layout/CircleArrowProcess"/>
    <dgm:cxn modelId="{1AC49C5C-CDBD-42B1-819C-4D1495D9C007}" type="presOf" srcId="{9D277DCB-EF2D-104C-9193-14190C4F098F}" destId="{7FE6F033-2E84-954C-B7DD-5D90C6DE0587}" srcOrd="0" destOrd="0" presId="urn:microsoft.com/office/officeart/2009/layout/CircleArrowProcess"/>
    <dgm:cxn modelId="{7A742329-B434-4852-A518-0BDF04B25148}" type="presOf" srcId="{8D36B3E4-F505-0C4B-9734-109F6FD7178F}" destId="{377D2706-5BE1-C64A-97A5-A87DD0890830}" srcOrd="0" destOrd="0" presId="urn:microsoft.com/office/officeart/2009/layout/CircleArrowProcess"/>
    <dgm:cxn modelId="{BE8E50C4-02CE-45AC-9061-ED202F19FEBF}" type="presOf" srcId="{4DAF78FB-2E79-6846-B4D5-96BBF76FC0D3}" destId="{2CF3BA37-CB1F-2A42-B475-D31FF9617D3A}" srcOrd="0" destOrd="0" presId="urn:microsoft.com/office/officeart/2009/layout/CircleArrowProcess"/>
    <dgm:cxn modelId="{0EC3334D-14C3-3040-9945-3F74FCAD1A87}" srcId="{9D277DCB-EF2D-104C-9193-14190C4F098F}" destId="{E38BECC0-B67F-6249-BE70-9E7A8B0DFAD7}" srcOrd="0" destOrd="0" parTransId="{5B1615A8-E793-1440-8340-ADDAE42F35C5}" sibTransId="{40572FD7-1E32-7F45-9DC8-055C070043A4}"/>
    <dgm:cxn modelId="{C11F7D07-7C61-40DF-875A-810E7C26C3A0}" type="presParOf" srcId="{7FE6F033-2E84-954C-B7DD-5D90C6DE0587}" destId="{4A4202F7-0744-3A4C-9D90-D40568739E75}" srcOrd="0" destOrd="0" presId="urn:microsoft.com/office/officeart/2009/layout/CircleArrowProcess"/>
    <dgm:cxn modelId="{50369CD4-B33F-49C2-B0CC-B0F306A7FF4E}" type="presParOf" srcId="{4A4202F7-0744-3A4C-9D90-D40568739E75}" destId="{A8A98095-2F9A-134C-BDD9-5D4199083EDB}" srcOrd="0" destOrd="0" presId="urn:microsoft.com/office/officeart/2009/layout/CircleArrowProcess"/>
    <dgm:cxn modelId="{B0DB891D-FFDB-446F-8FE0-CB2810C2B590}" type="presParOf" srcId="{7FE6F033-2E84-954C-B7DD-5D90C6DE0587}" destId="{DA277B2F-D91C-D24B-AA78-23C04C7A9587}" srcOrd="1" destOrd="0" presId="urn:microsoft.com/office/officeart/2009/layout/CircleArrowProcess"/>
    <dgm:cxn modelId="{6B6676FB-EEF3-4FCE-894C-AF863E3FD051}" type="presParOf" srcId="{7FE6F033-2E84-954C-B7DD-5D90C6DE0587}" destId="{49D48FA6-6E63-E844-AF92-D28E78669B24}" srcOrd="2" destOrd="0" presId="urn:microsoft.com/office/officeart/2009/layout/CircleArrowProcess"/>
    <dgm:cxn modelId="{0F625B5F-8E11-48F3-89AC-6F56ABEFF740}" type="presParOf" srcId="{49D48FA6-6E63-E844-AF92-D28E78669B24}" destId="{E010CF6F-872F-D74D-A7E7-AA928A0E7022}" srcOrd="0" destOrd="0" presId="urn:microsoft.com/office/officeart/2009/layout/CircleArrowProcess"/>
    <dgm:cxn modelId="{5D3DFD5F-2F7F-468E-94E5-7C0023DC29FD}" type="presParOf" srcId="{7FE6F033-2E84-954C-B7DD-5D90C6DE0587}" destId="{377D2706-5BE1-C64A-97A5-A87DD0890830}" srcOrd="3" destOrd="0" presId="urn:microsoft.com/office/officeart/2009/layout/CircleArrowProcess"/>
    <dgm:cxn modelId="{C5007C97-1A86-429B-89A4-5BFF80CE6752}" type="presParOf" srcId="{7FE6F033-2E84-954C-B7DD-5D90C6DE0587}" destId="{72DB9E23-C9C5-BB4B-8661-9024C1A894D5}" srcOrd="4" destOrd="0" presId="urn:microsoft.com/office/officeart/2009/layout/CircleArrowProcess"/>
    <dgm:cxn modelId="{92AF7069-D0C9-4233-8E47-CED83F1312EA}" type="presParOf" srcId="{72DB9E23-C9C5-BB4B-8661-9024C1A894D5}" destId="{F194C2F3-1D77-9D4B-963E-5FB96B24BF1E}" srcOrd="0" destOrd="0" presId="urn:microsoft.com/office/officeart/2009/layout/CircleArrowProcess"/>
    <dgm:cxn modelId="{47D6E7DB-0756-4E2A-A1DB-2656FD2400C7}" type="presParOf" srcId="{7FE6F033-2E84-954C-B7DD-5D90C6DE0587}" destId="{2CF3BA37-CB1F-2A42-B475-D31FF9617D3A}" srcOrd="5" destOrd="0" presId="urn:microsoft.com/office/officeart/2009/layout/CircleArrow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A98095-2F9A-134C-BDD9-5D4199083EDB}">
      <dsp:nvSpPr>
        <dsp:cNvPr id="0" name=""/>
        <dsp:cNvSpPr/>
      </dsp:nvSpPr>
      <dsp:spPr>
        <a:xfrm>
          <a:off x="885700" y="1110000"/>
          <a:ext cx="1532777" cy="1533010"/>
        </a:xfrm>
        <a:prstGeom prst="circularArrow">
          <a:avLst>
            <a:gd name="adj1" fmla="val 10980"/>
            <a:gd name="adj2" fmla="val 1142322"/>
            <a:gd name="adj3" fmla="val 4500000"/>
            <a:gd name="adj4" fmla="val 10800000"/>
            <a:gd name="adj5" fmla="val 125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A277B2F-D91C-D24B-AA78-23C04C7A9587}">
      <dsp:nvSpPr>
        <dsp:cNvPr id="0" name=""/>
        <dsp:cNvSpPr/>
      </dsp:nvSpPr>
      <dsp:spPr>
        <a:xfrm>
          <a:off x="1224494" y="1663463"/>
          <a:ext cx="851734" cy="4257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Develop essential project planning tools</a:t>
          </a:r>
        </a:p>
      </dsp:txBody>
      <dsp:txXfrm>
        <a:off x="1224494" y="1663463"/>
        <a:ext cx="851734" cy="425765"/>
      </dsp:txXfrm>
    </dsp:sp>
    <dsp:sp modelId="{E010CF6F-872F-D74D-A7E7-AA928A0E7022}">
      <dsp:nvSpPr>
        <dsp:cNvPr id="0" name=""/>
        <dsp:cNvSpPr/>
      </dsp:nvSpPr>
      <dsp:spPr>
        <a:xfrm>
          <a:off x="459977" y="1990828"/>
          <a:ext cx="1532777" cy="1533010"/>
        </a:xfrm>
        <a:prstGeom prst="leftCircularArrow">
          <a:avLst>
            <a:gd name="adj1" fmla="val 10980"/>
            <a:gd name="adj2" fmla="val 1142322"/>
            <a:gd name="adj3" fmla="val 6300000"/>
            <a:gd name="adj4" fmla="val 18900000"/>
            <a:gd name="adj5" fmla="val 125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77D2706-5BE1-C64A-97A5-A87DD0890830}">
      <dsp:nvSpPr>
        <dsp:cNvPr id="0" name=""/>
        <dsp:cNvSpPr/>
      </dsp:nvSpPr>
      <dsp:spPr>
        <a:xfrm>
          <a:off x="800498" y="2549387"/>
          <a:ext cx="851734" cy="4257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Refine ACCG organizational structure</a:t>
          </a:r>
        </a:p>
      </dsp:txBody>
      <dsp:txXfrm>
        <a:off x="800498" y="2549387"/>
        <a:ext cx="851734" cy="425765"/>
      </dsp:txXfrm>
    </dsp:sp>
    <dsp:sp modelId="{F194C2F3-1D77-9D4B-963E-5FB96B24BF1E}">
      <dsp:nvSpPr>
        <dsp:cNvPr id="0" name=""/>
        <dsp:cNvSpPr/>
      </dsp:nvSpPr>
      <dsp:spPr>
        <a:xfrm>
          <a:off x="994794" y="2977063"/>
          <a:ext cx="1316893" cy="1317420"/>
        </a:xfrm>
        <a:prstGeom prst="blockArc">
          <a:avLst>
            <a:gd name="adj1" fmla="val 13500000"/>
            <a:gd name="adj2" fmla="val 10800000"/>
            <a:gd name="adj3" fmla="val 1274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CF3BA37-CB1F-2A42-B475-D31FF9617D3A}">
      <dsp:nvSpPr>
        <dsp:cNvPr id="0" name=""/>
        <dsp:cNvSpPr/>
      </dsp:nvSpPr>
      <dsp:spPr>
        <a:xfrm>
          <a:off x="1226509" y="3436584"/>
          <a:ext cx="851734" cy="4257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Build capacity</a:t>
          </a:r>
        </a:p>
      </dsp:txBody>
      <dsp:txXfrm>
        <a:off x="1226509" y="3436584"/>
        <a:ext cx="851734" cy="425765"/>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Carlone</dc:creator>
  <cp:keywords/>
  <dc:description/>
  <cp:lastModifiedBy>Regine Miller</cp:lastModifiedBy>
  <cp:revision>2</cp:revision>
  <cp:lastPrinted>2019-11-13T08:19:00Z</cp:lastPrinted>
  <dcterms:created xsi:type="dcterms:W3CDTF">2019-11-14T01:14:00Z</dcterms:created>
  <dcterms:modified xsi:type="dcterms:W3CDTF">2019-11-14T01:14:00Z</dcterms:modified>
</cp:coreProperties>
</file>