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DDB5" w14:textId="7DA428FC" w:rsidR="00730E08" w:rsidRDefault="007148DB">
      <w:pPr>
        <w:spacing w:line="281" w:lineRule="exact"/>
        <w:ind w:right="-567"/>
      </w:pPr>
      <w:bookmarkStart w:id="0" w:name="_GoBack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January </w:t>
      </w:r>
      <w:r w:rsidR="007C55B4">
        <w:rPr>
          <w:rFonts w:ascii="Cambria" w:eastAsia="Cambria" w:hAnsi="Cambria" w:cs="Cambria"/>
          <w:color w:val="000000"/>
          <w:sz w:val="24"/>
          <w:szCs w:val="24"/>
        </w:rPr>
        <w:t>16</w:t>
      </w:r>
      <w:r>
        <w:rPr>
          <w:rFonts w:ascii="Cambria" w:eastAsia="Cambria" w:hAnsi="Cambria" w:cs="Cambria"/>
          <w:color w:val="000000"/>
          <w:sz w:val="24"/>
          <w:szCs w:val="24"/>
        </w:rPr>
        <w:t>, 2019 </w:t>
      </w:r>
    </w:p>
    <w:p w14:paraId="510F5639" w14:textId="77777777" w:rsidR="00730E08" w:rsidRDefault="00730E08">
      <w:pPr>
        <w:spacing w:line="20" w:lineRule="exact"/>
        <w:sectPr w:rsidR="00730E08">
          <w:type w:val="continuous"/>
          <w:pgSz w:w="12240" w:h="15840"/>
          <w:pgMar w:top="1420" w:right="8618" w:bottom="0" w:left="1800" w:header="720" w:footer="720" w:gutter="0"/>
          <w:cols w:space="720"/>
        </w:sectPr>
      </w:pPr>
    </w:p>
    <w:p w14:paraId="546BB102" w14:textId="77777777" w:rsidR="00730E08" w:rsidRDefault="00730E08">
      <w:pPr>
        <w:spacing w:line="200" w:lineRule="exact"/>
      </w:pPr>
    </w:p>
    <w:p w14:paraId="42726D92" w14:textId="77777777" w:rsidR="00730E08" w:rsidRDefault="007148DB">
      <w:pPr>
        <w:spacing w:before="80" w:after="2" w:line="281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Richard Sykes, Executive Officer </w:t>
      </w:r>
    </w:p>
    <w:p w14:paraId="3AE25DB2" w14:textId="77777777" w:rsidR="00730E08" w:rsidRDefault="007148DB">
      <w:pPr>
        <w:spacing w:line="280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Upper Mokelumne River Watershed Authority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15083 Camanche Parkway South </w:t>
      </w:r>
    </w:p>
    <w:p w14:paraId="19313F79" w14:textId="77777777" w:rsidR="00730E08" w:rsidRDefault="007148DB">
      <w:pPr>
        <w:spacing w:line="281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Valley Springs, CA 95252 </w:t>
      </w:r>
    </w:p>
    <w:p w14:paraId="115CB537" w14:textId="77777777" w:rsidR="00730E08" w:rsidRDefault="00730E08">
      <w:pPr>
        <w:spacing w:line="20" w:lineRule="exact"/>
        <w:sectPr w:rsidR="00730E08">
          <w:type w:val="continuous"/>
          <w:pgSz w:w="12240" w:h="15840"/>
          <w:pgMar w:top="1440" w:right="5651" w:bottom="0" w:left="1800" w:header="720" w:footer="720" w:gutter="0"/>
          <w:cols w:space="720"/>
        </w:sectPr>
      </w:pPr>
    </w:p>
    <w:p w14:paraId="2CA0B18F" w14:textId="77777777" w:rsidR="00730E08" w:rsidRDefault="00730E08">
      <w:pPr>
        <w:spacing w:line="200" w:lineRule="exact"/>
      </w:pPr>
    </w:p>
    <w:p w14:paraId="2BC885BB" w14:textId="5CBFE5B6" w:rsidR="00730E08" w:rsidRDefault="007148DB">
      <w:pPr>
        <w:spacing w:before="83" w:line="280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Subject: Support for the Upper Mokelumne River Watershed Authority’s (UMRWA)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National Fish and Wildlife Foundation Grant Application </w:t>
      </w:r>
      <w:r w:rsidR="002533D1">
        <w:rPr>
          <w:rFonts w:ascii="Cambria" w:eastAsia="Cambria" w:hAnsi="Cambria" w:cs="Cambria"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  <w:r w:rsidR="00A26593">
        <w:rPr>
          <w:rFonts w:ascii="Cambria" w:eastAsia="Cambria" w:hAnsi="Cambria" w:cs="Cambria"/>
          <w:color w:val="000000"/>
          <w:sz w:val="24"/>
          <w:szCs w:val="24"/>
        </w:rPr>
        <w:t xml:space="preserve">Power Fire </w:t>
      </w:r>
      <w:r>
        <w:rPr>
          <w:rFonts w:ascii="Cambria" w:eastAsia="Cambria" w:hAnsi="Cambria" w:cs="Cambria"/>
          <w:color w:val="000000"/>
          <w:sz w:val="24"/>
          <w:szCs w:val="24"/>
        </w:rPr>
        <w:t>Road Erosion and Sedimentation Control Project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14:paraId="46BF150D" w14:textId="77777777" w:rsidR="00730E08" w:rsidRDefault="00730E08">
      <w:pPr>
        <w:spacing w:line="20" w:lineRule="exact"/>
        <w:sectPr w:rsidR="00730E08">
          <w:type w:val="continuous"/>
          <w:pgSz w:w="12240" w:h="15840"/>
          <w:pgMar w:top="1440" w:right="1905" w:bottom="0" w:left="1800" w:header="720" w:footer="720" w:gutter="0"/>
          <w:cols w:space="720"/>
        </w:sectPr>
      </w:pPr>
    </w:p>
    <w:p w14:paraId="2B975D74" w14:textId="77777777" w:rsidR="00730E08" w:rsidRDefault="00730E08">
      <w:pPr>
        <w:spacing w:line="200" w:lineRule="exact"/>
      </w:pPr>
    </w:p>
    <w:p w14:paraId="68E8FACA" w14:textId="77777777" w:rsidR="00730E08" w:rsidRDefault="007148DB">
      <w:pPr>
        <w:spacing w:before="80" w:line="281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Dear Mr. Sykes: </w:t>
      </w:r>
    </w:p>
    <w:p w14:paraId="4CE9F471" w14:textId="77777777" w:rsidR="00730E08" w:rsidRDefault="00730E08">
      <w:pPr>
        <w:spacing w:line="20" w:lineRule="exact"/>
        <w:sectPr w:rsidR="00730E08">
          <w:type w:val="continuous"/>
          <w:pgSz w:w="12240" w:h="15840"/>
          <w:pgMar w:top="1440" w:right="8773" w:bottom="0" w:left="1800" w:header="720" w:footer="720" w:gutter="0"/>
          <w:cols w:space="720"/>
        </w:sectPr>
      </w:pPr>
    </w:p>
    <w:p w14:paraId="465383D1" w14:textId="77777777" w:rsidR="00730E08" w:rsidRDefault="00730E08">
      <w:pPr>
        <w:spacing w:line="200" w:lineRule="exact"/>
      </w:pPr>
    </w:p>
    <w:p w14:paraId="3B0D1611" w14:textId="3D9F7D29" w:rsidR="007148DB" w:rsidRDefault="007148DB" w:rsidP="00A26593">
      <w:pPr>
        <w:spacing w:before="83" w:line="280" w:lineRule="exact"/>
        <w:ind w:right="-56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On behalf of the Amador - Calaveras Consensus Group (ACCG) I am pleased to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submit this letter of their support for UMRWA’s </w:t>
      </w:r>
      <w:r w:rsidR="00A26593">
        <w:rPr>
          <w:rFonts w:ascii="Cambria" w:eastAsia="Cambria" w:hAnsi="Cambria" w:cs="Cambria"/>
          <w:color w:val="000000"/>
          <w:sz w:val="24"/>
          <w:szCs w:val="24"/>
        </w:rPr>
        <w:t xml:space="preserve">Power Fire </w:t>
      </w:r>
      <w:r>
        <w:rPr>
          <w:rFonts w:ascii="Cambria" w:eastAsia="Cambria" w:hAnsi="Cambria" w:cs="Cambria"/>
          <w:color w:val="000000"/>
          <w:sz w:val="24"/>
          <w:szCs w:val="24"/>
        </w:rPr>
        <w:t>Road Erosion and Sedimentation Control Project </w:t>
      </w:r>
      <w:r w:rsidR="00A26593">
        <w:rPr>
          <w:rFonts w:ascii="Cambria" w:eastAsia="Cambria" w:hAnsi="Cambria" w:cs="Cambria"/>
          <w:color w:val="000000"/>
          <w:sz w:val="24"/>
          <w:szCs w:val="24"/>
        </w:rPr>
        <w:t xml:space="preserve">in the Mokelumne Watershed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and application for grant funding </w:t>
      </w:r>
      <w:r w:rsidR="00A26593">
        <w:rPr>
          <w:rFonts w:ascii="Cambria" w:eastAsia="Cambria" w:hAnsi="Cambria" w:cs="Cambria"/>
          <w:color w:val="000000"/>
          <w:sz w:val="24"/>
          <w:szCs w:val="24"/>
        </w:rPr>
        <w:t xml:space="preserve">from </w:t>
      </w:r>
      <w:r>
        <w:rPr>
          <w:rFonts w:ascii="Cambria" w:eastAsia="Cambria" w:hAnsi="Cambria" w:cs="Cambria"/>
          <w:color w:val="000000"/>
          <w:sz w:val="24"/>
          <w:szCs w:val="24"/>
        </w:rPr>
        <w:t>the National Fish and Wildlife Foundation. </w:t>
      </w:r>
    </w:p>
    <w:p w14:paraId="32ADAEFA" w14:textId="77777777" w:rsidR="007148DB" w:rsidRDefault="007148DB" w:rsidP="007148DB">
      <w:pPr>
        <w:spacing w:line="280" w:lineRule="exact"/>
        <w:ind w:right="-56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 project will correct many erosion and sedimentation impacts caused by the Power Fire and will improve the water quality and health of  North Fork Mokelumne </w:t>
      </w:r>
    </w:p>
    <w:p w14:paraId="44045A1A" w14:textId="2A5C5175" w:rsidR="00730E08" w:rsidRDefault="007148DB" w:rsidP="007148DB">
      <w:pPr>
        <w:spacing w:line="280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River Watershed.   </w:t>
      </w:r>
    </w:p>
    <w:p w14:paraId="76015FC0" w14:textId="77777777" w:rsidR="00730E08" w:rsidRDefault="00730E08">
      <w:pPr>
        <w:spacing w:line="20" w:lineRule="exact"/>
        <w:sectPr w:rsidR="00730E08">
          <w:type w:val="continuous"/>
          <w:pgSz w:w="12240" w:h="15840"/>
          <w:pgMar w:top="1440" w:right="1840" w:bottom="0" w:left="1800" w:header="720" w:footer="720" w:gutter="0"/>
          <w:cols w:space="720"/>
        </w:sectPr>
      </w:pPr>
    </w:p>
    <w:p w14:paraId="2DC32D74" w14:textId="77777777" w:rsidR="00730E08" w:rsidRDefault="00730E08">
      <w:pPr>
        <w:spacing w:line="200" w:lineRule="exact"/>
      </w:pPr>
    </w:p>
    <w:p w14:paraId="33B399C7" w14:textId="77777777" w:rsidR="00730E08" w:rsidRDefault="007148DB">
      <w:pPr>
        <w:spacing w:before="83" w:line="280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The ACCG is a community-based organization that works to create fire-safe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communities, healthy forests and watersheds, and sustainable local economies.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Its members include state and federal agencies, business owners, nonprofit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organizations, elected officials and private individuals. The group focuses on a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triple-bottom-line approach to environmental, economic and community issues. It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makes decisions by consensus and works primarily in the upper Mokelumne River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and Calaveras River watersheds east of Highway 49. </w:t>
      </w:r>
    </w:p>
    <w:p w14:paraId="0C1F2A95" w14:textId="77777777" w:rsidR="00730E08" w:rsidRDefault="00730E08">
      <w:pPr>
        <w:spacing w:line="20" w:lineRule="exact"/>
        <w:sectPr w:rsidR="00730E08">
          <w:type w:val="continuous"/>
          <w:pgSz w:w="12240" w:h="15840"/>
          <w:pgMar w:top="1440" w:right="1962" w:bottom="0" w:left="1800" w:header="720" w:footer="720" w:gutter="0"/>
          <w:cols w:space="720"/>
        </w:sectPr>
      </w:pPr>
    </w:p>
    <w:p w14:paraId="22B14DF4" w14:textId="77777777" w:rsidR="00730E08" w:rsidRDefault="00730E08">
      <w:pPr>
        <w:spacing w:line="200" w:lineRule="exact"/>
      </w:pPr>
    </w:p>
    <w:p w14:paraId="0708497C" w14:textId="01CD0DFB" w:rsidR="00730E08" w:rsidRDefault="007148DB">
      <w:pPr>
        <w:spacing w:before="83" w:line="280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All of us working towards healthy watershed conditions in the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Amador-Calaveras-Alpine region look forward to the completion of the </w:t>
      </w:r>
      <w:r w:rsidR="000D4F0F">
        <w:t xml:space="preserve"> 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Power Fire Road Erosion and Sedimentation Control Project and the many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watershed benefits it will provide. NFWF’s support is vital to our continuing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efforts. </w:t>
      </w:r>
    </w:p>
    <w:p w14:paraId="63F7C43B" w14:textId="77777777" w:rsidR="00730E08" w:rsidRDefault="00730E08">
      <w:pPr>
        <w:spacing w:line="20" w:lineRule="exact"/>
        <w:sectPr w:rsidR="00730E08">
          <w:type w:val="continuous"/>
          <w:pgSz w:w="12240" w:h="15840"/>
          <w:pgMar w:top="1440" w:right="2564" w:bottom="0" w:left="1800" w:header="720" w:footer="720" w:gutter="0"/>
          <w:cols w:space="720"/>
        </w:sectPr>
      </w:pPr>
    </w:p>
    <w:p w14:paraId="332FEF64" w14:textId="77777777" w:rsidR="00730E08" w:rsidRDefault="00730E08">
      <w:pPr>
        <w:spacing w:line="200" w:lineRule="exact"/>
      </w:pPr>
    </w:p>
    <w:p w14:paraId="50FF8EA4" w14:textId="77777777" w:rsidR="00730E08" w:rsidRDefault="007148DB">
      <w:pPr>
        <w:spacing w:before="80" w:line="281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Sincerely, </w:t>
      </w:r>
    </w:p>
    <w:p w14:paraId="77101612" w14:textId="77777777" w:rsidR="00730E08" w:rsidRDefault="00730E08">
      <w:pPr>
        <w:spacing w:line="20" w:lineRule="exact"/>
        <w:sectPr w:rsidR="00730E08">
          <w:type w:val="continuous"/>
          <w:pgSz w:w="12240" w:h="15840"/>
          <w:pgMar w:top="1440" w:right="9388" w:bottom="0" w:left="1800" w:header="720" w:footer="720" w:gutter="0"/>
          <w:cols w:space="720"/>
        </w:sectPr>
      </w:pPr>
    </w:p>
    <w:p w14:paraId="3F2BB157" w14:textId="77777777" w:rsidR="00730E08" w:rsidRDefault="00730E08">
      <w:pPr>
        <w:spacing w:line="200" w:lineRule="exact"/>
      </w:pPr>
    </w:p>
    <w:p w14:paraId="0A3F39BD" w14:textId="77777777" w:rsidR="00730E08" w:rsidRDefault="00730E08">
      <w:pPr>
        <w:spacing w:line="200" w:lineRule="exact"/>
      </w:pPr>
    </w:p>
    <w:p w14:paraId="3696C70D" w14:textId="77777777" w:rsidR="00730E08" w:rsidRDefault="00730E08">
      <w:pPr>
        <w:spacing w:line="200" w:lineRule="exact"/>
      </w:pPr>
    </w:p>
    <w:p w14:paraId="515F0AD3" w14:textId="77777777" w:rsidR="00730E08" w:rsidRDefault="00730E08">
      <w:pPr>
        <w:spacing w:line="200" w:lineRule="exact"/>
      </w:pPr>
    </w:p>
    <w:p w14:paraId="462F16F8" w14:textId="77777777" w:rsidR="00730E08" w:rsidRDefault="00730E08">
      <w:pPr>
        <w:spacing w:line="200" w:lineRule="exact"/>
      </w:pPr>
    </w:p>
    <w:p w14:paraId="17910B87" w14:textId="77777777" w:rsidR="00730E08" w:rsidRDefault="007148DB">
      <w:pPr>
        <w:spacing w:before="134" w:after="2" w:line="281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Jill Micheau </w:t>
      </w:r>
    </w:p>
    <w:p w14:paraId="3273EEF2" w14:textId="77777777" w:rsidR="00730E08" w:rsidRDefault="007148DB">
      <w:pPr>
        <w:spacing w:line="281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ACCG Administrator </w:t>
      </w:r>
    </w:p>
    <w:p w14:paraId="24A27688" w14:textId="77777777" w:rsidR="00730E08" w:rsidRDefault="00730E08">
      <w:pPr>
        <w:spacing w:line="20" w:lineRule="exact"/>
        <w:sectPr w:rsidR="00730E08">
          <w:type w:val="continuous"/>
          <w:pgSz w:w="12240" w:h="15840"/>
          <w:pgMar w:top="1440" w:right="8252" w:bottom="0" w:left="1800" w:header="720" w:footer="720" w:gutter="0"/>
          <w:cols w:space="720"/>
        </w:sectPr>
      </w:pPr>
    </w:p>
    <w:p w14:paraId="07AA173A" w14:textId="77777777" w:rsidR="00730E08" w:rsidRDefault="00730E08">
      <w:pPr>
        <w:spacing w:line="200" w:lineRule="exact"/>
      </w:pPr>
    </w:p>
    <w:p w14:paraId="2349BB0D" w14:textId="77777777" w:rsidR="00730E08" w:rsidRDefault="007148DB">
      <w:pPr>
        <w:spacing w:before="83" w:line="281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CC: Rob Alcott, Rich Farrington, Rick Hopson </w:t>
      </w:r>
    </w:p>
    <w:sectPr w:rsidR="00730E08">
      <w:type w:val="continuous"/>
      <w:pgSz w:w="12240" w:h="15840"/>
      <w:pgMar w:top="1440" w:right="5703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E08"/>
    <w:rsid w:val="000D4F0F"/>
    <w:rsid w:val="002533D1"/>
    <w:rsid w:val="007148DB"/>
    <w:rsid w:val="00730E08"/>
    <w:rsid w:val="007C55B4"/>
    <w:rsid w:val="008B4AB3"/>
    <w:rsid w:val="00A2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8D2B"/>
  <w15:docId w15:val="{93D82C83-50B8-45CD-9BDF-1CAB8F64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Jill Micheau</cp:lastModifiedBy>
  <cp:revision>2</cp:revision>
  <dcterms:created xsi:type="dcterms:W3CDTF">2019-01-13T23:55:00Z</dcterms:created>
  <dcterms:modified xsi:type="dcterms:W3CDTF">2019-01-13T23:55:00Z</dcterms:modified>
</cp:coreProperties>
</file>