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3864" w14:textId="77777777" w:rsidR="004F4E72" w:rsidRDefault="006E47DD">
      <w:r w:rsidRPr="0006632C">
        <w:rPr>
          <w:rFonts w:ascii="Arial Rounded MT Bold" w:hAnsi="Arial Rounded MT Bold"/>
          <w:color w:val="385623" w:themeColor="accent6" w:themeShade="80"/>
          <w:sz w:val="32"/>
          <w:szCs w:val="32"/>
        </w:rPr>
        <w:t>Amador Calaveras Consensus Group</w:t>
      </w:r>
      <w:r>
        <w:rPr>
          <w:rFonts w:ascii="Arial Rounded MT Bold" w:hAnsi="Arial Rounded MT Bold"/>
          <w:color w:val="385623" w:themeColor="accent6" w:themeShade="80"/>
          <w:sz w:val="32"/>
          <w:szCs w:val="32"/>
        </w:rPr>
        <w:t xml:space="preserve"> (ACCG)</w:t>
      </w:r>
    </w:p>
    <w:p w14:paraId="61A00F72" w14:textId="77777777" w:rsidR="006E47DD" w:rsidRPr="00030B1D" w:rsidRDefault="006E47DD" w:rsidP="006E47DD">
      <w:pPr>
        <w:rPr>
          <w:i/>
        </w:rPr>
      </w:pPr>
      <w:r w:rsidRPr="00030B1D">
        <w:rPr>
          <w:i/>
        </w:rPr>
        <w:t>Planning Work Group | July 24, 2019</w:t>
      </w:r>
    </w:p>
    <w:p w14:paraId="547D6E51" w14:textId="468BF823" w:rsidR="00030B1D" w:rsidRDefault="007C6F85" w:rsidP="006E47DD">
      <w:r>
        <w:t>Documents / Links</w:t>
      </w:r>
      <w:bookmarkStart w:id="0" w:name="_GoBack"/>
      <w:bookmarkEnd w:id="0"/>
      <w:r w:rsidR="00030B1D">
        <w:t>:</w:t>
      </w:r>
    </w:p>
    <w:p w14:paraId="6AFDF476" w14:textId="77777777" w:rsidR="00030B1D" w:rsidRDefault="00030B1D" w:rsidP="007C6F85">
      <w:pPr>
        <w:pStyle w:val="ListParagraph"/>
        <w:numPr>
          <w:ilvl w:val="0"/>
          <w:numId w:val="4"/>
        </w:numPr>
      </w:pPr>
      <w:proofErr w:type="spellStart"/>
      <w:r>
        <w:t>Scottiago</w:t>
      </w:r>
      <w:proofErr w:type="spellEnd"/>
      <w:r>
        <w:t xml:space="preserve"> Field Trip key takeaways (from the June Planning WG summary)</w:t>
      </w:r>
    </w:p>
    <w:p w14:paraId="2B98474F" w14:textId="77777777" w:rsidR="00030B1D" w:rsidRDefault="00030B1D" w:rsidP="007C6F85">
      <w:pPr>
        <w:pStyle w:val="ListParagraph"/>
        <w:numPr>
          <w:ilvl w:val="0"/>
          <w:numId w:val="4"/>
        </w:numPr>
      </w:pPr>
      <w:r>
        <w:t>Planning WG description (from ACCG MOA)</w:t>
      </w:r>
    </w:p>
    <w:p w14:paraId="0BF45FAB" w14:textId="77777777" w:rsidR="00030B1D" w:rsidRDefault="00030B1D" w:rsidP="007C6F85">
      <w:pPr>
        <w:pStyle w:val="ListParagraph"/>
        <w:numPr>
          <w:ilvl w:val="0"/>
          <w:numId w:val="4"/>
        </w:numPr>
      </w:pPr>
      <w:r>
        <w:t>POD research paper</w:t>
      </w:r>
    </w:p>
    <w:p w14:paraId="3906DEEA" w14:textId="77777777" w:rsidR="00030B1D" w:rsidRDefault="00317B47" w:rsidP="007C6F85">
      <w:pPr>
        <w:pStyle w:val="ListParagraph"/>
        <w:numPr>
          <w:ilvl w:val="0"/>
          <w:numId w:val="4"/>
        </w:numPr>
      </w:pPr>
      <w:r>
        <w:t xml:space="preserve">Informational </w:t>
      </w:r>
      <w:r w:rsidR="00030B1D">
        <w:t>POD links:</w:t>
      </w:r>
      <w:r>
        <w:t xml:space="preserve"> </w:t>
      </w:r>
      <w:hyperlink r:id="rId5" w:history="1">
        <w:r w:rsidRPr="00317B47">
          <w:rPr>
            <w:rStyle w:val="Hyperlink"/>
          </w:rPr>
          <w:t>You Tube video</w:t>
        </w:r>
      </w:hyperlink>
      <w:r>
        <w:t xml:space="preserve">; </w:t>
      </w:r>
      <w:hyperlink r:id="rId6" w:history="1">
        <w:r w:rsidRPr="00317B47">
          <w:rPr>
            <w:rStyle w:val="Hyperlink"/>
          </w:rPr>
          <w:t>Overview article</w:t>
        </w:r>
      </w:hyperlink>
    </w:p>
    <w:p w14:paraId="57A28EE6" w14:textId="77777777" w:rsidR="00030B1D" w:rsidRDefault="00030B1D" w:rsidP="007C6F85">
      <w:pPr>
        <w:pStyle w:val="ListParagraph"/>
        <w:numPr>
          <w:ilvl w:val="0"/>
          <w:numId w:val="4"/>
        </w:numPr>
      </w:pPr>
      <w:r>
        <w:t xml:space="preserve">Sierra NF Paper converting LiDAR tree heights to </w:t>
      </w:r>
      <w:proofErr w:type="spellStart"/>
      <w:r>
        <w:t>dbh</w:t>
      </w:r>
      <w:proofErr w:type="spellEnd"/>
    </w:p>
    <w:p w14:paraId="1250E9DF" w14:textId="77777777" w:rsidR="006E47DD" w:rsidRPr="006E47DD" w:rsidRDefault="006E47DD" w:rsidP="006E47DD">
      <w:pPr>
        <w:keepNext/>
        <w:keepLines/>
        <w:spacing w:before="240" w:after="0"/>
        <w:outlineLvl w:val="0"/>
        <w:rPr>
          <w:rFonts w:ascii="Arial Rounded MT Bold" w:eastAsia="Times New Roman" w:hAnsi="Arial Rounded MT Bold" w:cs="Times New Roman"/>
          <w:color w:val="000000"/>
          <w:sz w:val="28"/>
          <w:szCs w:val="32"/>
        </w:rPr>
      </w:pPr>
      <w:r w:rsidRPr="006E47DD">
        <w:rPr>
          <w:rFonts w:ascii="Arial Rounded MT Bold" w:eastAsia="Times New Roman" w:hAnsi="Arial Rounded MT Bold" w:cs="Times New Roman"/>
          <w:color w:val="000000"/>
          <w:sz w:val="28"/>
          <w:szCs w:val="32"/>
        </w:rPr>
        <w:t>Action Items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6"/>
        <w:gridCol w:w="1939"/>
        <w:gridCol w:w="1655"/>
      </w:tblGrid>
      <w:tr w:rsidR="006E47DD" w14:paraId="13569E56" w14:textId="77777777" w:rsidTr="005E1804">
        <w:tc>
          <w:tcPr>
            <w:tcW w:w="3078" w:type="pct"/>
            <w:shd w:val="clear" w:color="auto" w:fill="A8D08D" w:themeFill="accent6" w:themeFillTint="99"/>
          </w:tcPr>
          <w:p w14:paraId="4528BB18" w14:textId="77777777" w:rsidR="006E47DD" w:rsidRPr="002B606F" w:rsidRDefault="006E47DD" w:rsidP="0046777C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1037" w:type="pct"/>
            <w:shd w:val="clear" w:color="auto" w:fill="A8D08D" w:themeFill="accent6" w:themeFillTint="99"/>
          </w:tcPr>
          <w:p w14:paraId="469E7291" w14:textId="77777777" w:rsidR="006E47DD" w:rsidRDefault="006E47DD" w:rsidP="0046777C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885" w:type="pct"/>
            <w:shd w:val="clear" w:color="auto" w:fill="A8D08D" w:themeFill="accent6" w:themeFillTint="99"/>
          </w:tcPr>
          <w:p w14:paraId="479DFF44" w14:textId="77777777" w:rsidR="006E47DD" w:rsidRPr="002B606F" w:rsidRDefault="006E47DD" w:rsidP="0046777C">
            <w:pPr>
              <w:jc w:val="center"/>
              <w:rPr>
                <w:b/>
              </w:rPr>
            </w:pPr>
            <w:r>
              <w:rPr>
                <w:b/>
              </w:rPr>
              <w:t>Point Person(s)</w:t>
            </w:r>
          </w:p>
        </w:tc>
      </w:tr>
      <w:tr w:rsidR="006E47DD" w14:paraId="0745E204" w14:textId="77777777" w:rsidTr="005E1804">
        <w:tc>
          <w:tcPr>
            <w:tcW w:w="3078" w:type="pct"/>
          </w:tcPr>
          <w:p w14:paraId="7D04F96B" w14:textId="3E013478" w:rsidR="006E47DD" w:rsidRDefault="006E47DD" w:rsidP="0046777C">
            <w:pPr>
              <w:tabs>
                <w:tab w:val="center" w:pos="4680"/>
              </w:tabs>
            </w:pPr>
            <w:r>
              <w:t>Review and send edits</w:t>
            </w:r>
            <w:r w:rsidR="00030B1D">
              <w:t xml:space="preserve"> (in track changes)</w:t>
            </w:r>
            <w:r>
              <w:t xml:space="preserve"> </w:t>
            </w:r>
            <w:r w:rsidR="005E1804">
              <w:t xml:space="preserve">to CBI </w:t>
            </w:r>
            <w:r>
              <w:t xml:space="preserve">on the </w:t>
            </w:r>
            <w:proofErr w:type="spellStart"/>
            <w:r>
              <w:t>Scottiago</w:t>
            </w:r>
            <w:proofErr w:type="spellEnd"/>
            <w:r>
              <w:t xml:space="preserve"> Field Trip key takeaways (from the June meeting summary</w:t>
            </w:r>
            <w:r w:rsidR="00030B1D">
              <w:t>)</w:t>
            </w:r>
            <w:r w:rsidR="00507221">
              <w:t>.</w:t>
            </w:r>
          </w:p>
        </w:tc>
        <w:tc>
          <w:tcPr>
            <w:tcW w:w="1037" w:type="pct"/>
          </w:tcPr>
          <w:p w14:paraId="42E17635" w14:textId="77777777" w:rsidR="006E47DD" w:rsidRDefault="006E47DD" w:rsidP="0046777C">
            <w:r>
              <w:t>July 31</w:t>
            </w:r>
          </w:p>
        </w:tc>
        <w:tc>
          <w:tcPr>
            <w:tcW w:w="885" w:type="pct"/>
          </w:tcPr>
          <w:p w14:paraId="5E809E4D" w14:textId="77777777" w:rsidR="006E47DD" w:rsidRDefault="006E47DD" w:rsidP="0046777C">
            <w:r>
              <w:t>ACCG Field Trip attendees</w:t>
            </w:r>
          </w:p>
        </w:tc>
      </w:tr>
      <w:tr w:rsidR="006E47DD" w14:paraId="23707DB3" w14:textId="77777777" w:rsidTr="005E1804">
        <w:tc>
          <w:tcPr>
            <w:tcW w:w="3078" w:type="pct"/>
          </w:tcPr>
          <w:p w14:paraId="1EFC7877" w14:textId="77777777" w:rsidR="006E47DD" w:rsidRDefault="005E1804" w:rsidP="0046777C">
            <w:pPr>
              <w:tabs>
                <w:tab w:val="center" w:pos="4680"/>
              </w:tabs>
            </w:pPr>
            <w:r>
              <w:t xml:space="preserve">Review and send edits to CBI on the Planning WG role and description in the </w:t>
            </w:r>
            <w:r w:rsidR="00030B1D">
              <w:t xml:space="preserve">ACCG </w:t>
            </w:r>
            <w:r>
              <w:t>MOA</w:t>
            </w:r>
            <w:r w:rsidR="00030B1D">
              <w:t>.</w:t>
            </w:r>
          </w:p>
        </w:tc>
        <w:tc>
          <w:tcPr>
            <w:tcW w:w="1037" w:type="pct"/>
          </w:tcPr>
          <w:p w14:paraId="56A62BDF" w14:textId="77777777" w:rsidR="006E47DD" w:rsidRDefault="005E1804" w:rsidP="0046777C">
            <w:r>
              <w:t>July 31</w:t>
            </w:r>
          </w:p>
        </w:tc>
        <w:tc>
          <w:tcPr>
            <w:tcW w:w="885" w:type="pct"/>
          </w:tcPr>
          <w:p w14:paraId="3FEDDE28" w14:textId="77777777" w:rsidR="006E47DD" w:rsidRDefault="005E1804" w:rsidP="0046777C">
            <w:r>
              <w:t>Planning WG</w:t>
            </w:r>
          </w:p>
        </w:tc>
      </w:tr>
      <w:tr w:rsidR="00C1733D" w14:paraId="79BC2102" w14:textId="77777777" w:rsidTr="005E1804">
        <w:tc>
          <w:tcPr>
            <w:tcW w:w="3078" w:type="pct"/>
          </w:tcPr>
          <w:p w14:paraId="2D92F559" w14:textId="77777777" w:rsidR="00C1733D" w:rsidRDefault="00C1733D" w:rsidP="0046777C">
            <w:pPr>
              <w:tabs>
                <w:tab w:val="center" w:pos="4680"/>
              </w:tabs>
            </w:pPr>
            <w:r>
              <w:t xml:space="preserve">Draft SLAWG </w:t>
            </w:r>
            <w:r w:rsidR="00030B1D">
              <w:t>description on charge and functions to include in the updated MOA.</w:t>
            </w:r>
          </w:p>
        </w:tc>
        <w:tc>
          <w:tcPr>
            <w:tcW w:w="1037" w:type="pct"/>
          </w:tcPr>
          <w:p w14:paraId="79DB2F72" w14:textId="77777777" w:rsidR="00C1733D" w:rsidRDefault="00C1733D" w:rsidP="0046777C">
            <w:r>
              <w:t>Before next SLAWG meeting</w:t>
            </w:r>
          </w:p>
        </w:tc>
        <w:tc>
          <w:tcPr>
            <w:tcW w:w="885" w:type="pct"/>
          </w:tcPr>
          <w:p w14:paraId="68B819A1" w14:textId="77777777" w:rsidR="00C1733D" w:rsidRDefault="00C1733D" w:rsidP="0046777C">
            <w:r>
              <w:t xml:space="preserve">Megan </w:t>
            </w:r>
            <w:proofErr w:type="spellStart"/>
            <w:r>
              <w:t>Layhee</w:t>
            </w:r>
            <w:proofErr w:type="spellEnd"/>
          </w:p>
        </w:tc>
      </w:tr>
      <w:tr w:rsidR="006E47DD" w14:paraId="1A5AFD4B" w14:textId="77777777" w:rsidTr="005E1804">
        <w:tc>
          <w:tcPr>
            <w:tcW w:w="3078" w:type="pct"/>
          </w:tcPr>
          <w:p w14:paraId="414B3CAB" w14:textId="1265AE79" w:rsidR="006E47DD" w:rsidRDefault="005E1804" w:rsidP="0046777C">
            <w:pPr>
              <w:tabs>
                <w:tab w:val="center" w:pos="4680"/>
              </w:tabs>
            </w:pPr>
            <w:r>
              <w:t xml:space="preserve">Determine if Todd </w:t>
            </w:r>
            <w:proofErr w:type="spellStart"/>
            <w:r>
              <w:t>Sloat’s</w:t>
            </w:r>
            <w:proofErr w:type="spellEnd"/>
            <w:r>
              <w:t xml:space="preserve"> 34 North presentation and Carol </w:t>
            </w:r>
            <w:r w:rsidR="00050BDC">
              <w:t xml:space="preserve">Ewell (Stanislaus NF) </w:t>
            </w:r>
            <w:r>
              <w:t xml:space="preserve">POD presentation are meant for SLAWG and/or Planning WG. Coordinate accordingly. </w:t>
            </w:r>
          </w:p>
        </w:tc>
        <w:tc>
          <w:tcPr>
            <w:tcW w:w="1037" w:type="pct"/>
          </w:tcPr>
          <w:p w14:paraId="7E63382B" w14:textId="77777777" w:rsidR="006E47DD" w:rsidRDefault="005E1804" w:rsidP="0046777C">
            <w:r>
              <w:t>Before next SLAWG meeting</w:t>
            </w:r>
          </w:p>
        </w:tc>
        <w:tc>
          <w:tcPr>
            <w:tcW w:w="885" w:type="pct"/>
          </w:tcPr>
          <w:p w14:paraId="3F6ED7D6" w14:textId="77777777" w:rsidR="006E47DD" w:rsidRDefault="00C1733D" w:rsidP="0046777C">
            <w:r>
              <w:t xml:space="preserve">Megan </w:t>
            </w:r>
            <w:proofErr w:type="spellStart"/>
            <w:r>
              <w:t>Layhee</w:t>
            </w:r>
            <w:proofErr w:type="spellEnd"/>
          </w:p>
        </w:tc>
      </w:tr>
      <w:tr w:rsidR="005E1804" w14:paraId="23824F97" w14:textId="77777777" w:rsidTr="005E1804">
        <w:tc>
          <w:tcPr>
            <w:tcW w:w="3078" w:type="pct"/>
          </w:tcPr>
          <w:p w14:paraId="2FB3E3D7" w14:textId="4F46A919" w:rsidR="005E1804" w:rsidRDefault="005E1804" w:rsidP="005E1804">
            <w:pPr>
              <w:tabs>
                <w:tab w:val="center" w:pos="4680"/>
              </w:tabs>
            </w:pPr>
            <w:r>
              <w:t>Include Carol</w:t>
            </w:r>
            <w:r w:rsidR="00050BDC">
              <w:t xml:space="preserve"> Ewell </w:t>
            </w:r>
            <w:r>
              <w:t>in SLAWG calls going forward</w:t>
            </w:r>
            <w:r w:rsidR="00507221">
              <w:t>.</w:t>
            </w:r>
          </w:p>
        </w:tc>
        <w:tc>
          <w:tcPr>
            <w:tcW w:w="1037" w:type="pct"/>
          </w:tcPr>
          <w:p w14:paraId="23386E6C" w14:textId="77777777" w:rsidR="005E1804" w:rsidRDefault="005E1804" w:rsidP="005E1804">
            <w:r>
              <w:t>Before next SLAWG meeting</w:t>
            </w:r>
          </w:p>
        </w:tc>
        <w:tc>
          <w:tcPr>
            <w:tcW w:w="885" w:type="pct"/>
          </w:tcPr>
          <w:p w14:paraId="46F0EB5E" w14:textId="77777777" w:rsidR="005E1804" w:rsidRDefault="005E1804" w:rsidP="005E1804">
            <w:r>
              <w:t>Megan</w:t>
            </w:r>
            <w:r w:rsidR="00D50389">
              <w:t xml:space="preserve"> </w:t>
            </w:r>
            <w:proofErr w:type="spellStart"/>
            <w:r w:rsidR="00D50389">
              <w:t>Layhee</w:t>
            </w:r>
            <w:proofErr w:type="spellEnd"/>
          </w:p>
        </w:tc>
      </w:tr>
      <w:tr w:rsidR="00477DF0" w14:paraId="56A55133" w14:textId="77777777" w:rsidTr="005E1804">
        <w:tc>
          <w:tcPr>
            <w:tcW w:w="3078" w:type="pct"/>
          </w:tcPr>
          <w:p w14:paraId="5934108C" w14:textId="64D20530" w:rsidR="00477DF0" w:rsidRDefault="009F2962" w:rsidP="0046777C">
            <w:pPr>
              <w:tabs>
                <w:tab w:val="center" w:pos="4680"/>
              </w:tabs>
            </w:pPr>
            <w:r>
              <w:t xml:space="preserve">Send </w:t>
            </w:r>
            <w:r w:rsidR="007E65E4">
              <w:t xml:space="preserve">Megan and CBI </w:t>
            </w:r>
            <w:r w:rsidR="00154206">
              <w:t xml:space="preserve">information on POD application </w:t>
            </w:r>
            <w:r w:rsidR="00D50389">
              <w:t>(e.g., Thompson paper and POD strategy overview</w:t>
            </w:r>
            <w:r w:rsidR="00030B1D">
              <w:t>)</w:t>
            </w:r>
            <w:r w:rsidR="00507221">
              <w:t>.</w:t>
            </w:r>
          </w:p>
        </w:tc>
        <w:tc>
          <w:tcPr>
            <w:tcW w:w="1037" w:type="pct"/>
          </w:tcPr>
          <w:p w14:paraId="3D6BA9A5" w14:textId="77777777" w:rsidR="00D50389" w:rsidRPr="00030B1D" w:rsidRDefault="003438AE" w:rsidP="0046777C">
            <w:r w:rsidRPr="00030B1D">
              <w:rPr>
                <w:b/>
                <w:color w:val="00B050"/>
              </w:rPr>
              <w:t xml:space="preserve">DONE </w:t>
            </w:r>
            <w:r w:rsidRPr="00030B1D">
              <w:t>(see attached</w:t>
            </w:r>
            <w:r w:rsidR="00D50389" w:rsidRPr="00030B1D">
              <w:t xml:space="preserve"> and </w:t>
            </w:r>
            <w:r w:rsidR="00030B1D" w:rsidRPr="00030B1D">
              <w:t>above</w:t>
            </w:r>
            <w:r w:rsidR="00030B1D">
              <w:t xml:space="preserve"> links</w:t>
            </w:r>
            <w:r w:rsidRPr="00030B1D">
              <w:t>)</w:t>
            </w:r>
          </w:p>
        </w:tc>
        <w:tc>
          <w:tcPr>
            <w:tcW w:w="885" w:type="pct"/>
          </w:tcPr>
          <w:p w14:paraId="6657F029" w14:textId="77777777" w:rsidR="00477DF0" w:rsidRDefault="009F2962" w:rsidP="0046777C">
            <w:r>
              <w:t>Ben</w:t>
            </w:r>
            <w:r w:rsidR="00D50389">
              <w:t xml:space="preserve"> </w:t>
            </w:r>
            <w:proofErr w:type="spellStart"/>
            <w:r w:rsidR="00D50389">
              <w:t>Solvesky</w:t>
            </w:r>
            <w:proofErr w:type="spellEnd"/>
          </w:p>
        </w:tc>
      </w:tr>
      <w:tr w:rsidR="003438AE" w14:paraId="118017ED" w14:textId="77777777" w:rsidTr="005E1804">
        <w:tc>
          <w:tcPr>
            <w:tcW w:w="3078" w:type="pct"/>
          </w:tcPr>
          <w:p w14:paraId="1F28F87B" w14:textId="681DEBDC" w:rsidR="003438AE" w:rsidRDefault="003438AE" w:rsidP="0046777C">
            <w:pPr>
              <w:tabs>
                <w:tab w:val="center" w:pos="4680"/>
              </w:tabs>
            </w:pPr>
            <w:r>
              <w:t xml:space="preserve">Send CBI Sierra NF paper on LiDAR tree heights relation/conversion to </w:t>
            </w:r>
            <w:proofErr w:type="spellStart"/>
            <w:r>
              <w:t>dbh</w:t>
            </w:r>
            <w:proofErr w:type="spellEnd"/>
            <w:r w:rsidR="00507221">
              <w:t>.</w:t>
            </w:r>
          </w:p>
        </w:tc>
        <w:tc>
          <w:tcPr>
            <w:tcW w:w="1037" w:type="pct"/>
          </w:tcPr>
          <w:p w14:paraId="01D15031" w14:textId="77777777" w:rsidR="003438AE" w:rsidRPr="00030B1D" w:rsidRDefault="00030B1D" w:rsidP="0046777C">
            <w:r w:rsidRPr="00030B1D">
              <w:rPr>
                <w:b/>
                <w:color w:val="00B050"/>
              </w:rPr>
              <w:t xml:space="preserve">DONE </w:t>
            </w:r>
            <w:r w:rsidR="003438AE" w:rsidRPr="00030B1D">
              <w:t>(see attached)</w:t>
            </w:r>
          </w:p>
        </w:tc>
        <w:tc>
          <w:tcPr>
            <w:tcW w:w="885" w:type="pct"/>
          </w:tcPr>
          <w:p w14:paraId="55FE228B" w14:textId="77777777" w:rsidR="003438AE" w:rsidRDefault="003438AE" w:rsidP="0046777C">
            <w:r>
              <w:t>Ben</w:t>
            </w:r>
            <w:r w:rsidR="00D50389">
              <w:t xml:space="preserve"> </w:t>
            </w:r>
            <w:proofErr w:type="spellStart"/>
            <w:r w:rsidR="00D50389">
              <w:t>Solvesky</w:t>
            </w:r>
            <w:proofErr w:type="spellEnd"/>
          </w:p>
        </w:tc>
      </w:tr>
      <w:tr w:rsidR="00C1733D" w14:paraId="0A28E1EA" w14:textId="77777777" w:rsidTr="005E1804">
        <w:tc>
          <w:tcPr>
            <w:tcW w:w="3078" w:type="pct"/>
          </w:tcPr>
          <w:p w14:paraId="7A229904" w14:textId="4CC4909B" w:rsidR="00C1733D" w:rsidRDefault="00C1733D" w:rsidP="0046777C">
            <w:pPr>
              <w:tabs>
                <w:tab w:val="center" w:pos="4680"/>
              </w:tabs>
            </w:pPr>
            <w:r>
              <w:t xml:space="preserve">Develop </w:t>
            </w:r>
            <w:r w:rsidR="00050BDC">
              <w:t xml:space="preserve">project submission form and other background materials </w:t>
            </w:r>
            <w:r>
              <w:t xml:space="preserve">for the Power Fire Culvert project </w:t>
            </w:r>
            <w:r w:rsidR="00050BDC">
              <w:t>for the</w:t>
            </w:r>
            <w:r w:rsidR="00507221">
              <w:t xml:space="preserve"> Aug</w:t>
            </w:r>
            <w:r w:rsidR="00050BDC">
              <w:t xml:space="preserve"> General Meeting</w:t>
            </w:r>
            <w:r w:rsidR="00507221">
              <w:t>.</w:t>
            </w:r>
          </w:p>
        </w:tc>
        <w:tc>
          <w:tcPr>
            <w:tcW w:w="1037" w:type="pct"/>
          </w:tcPr>
          <w:p w14:paraId="1C5517F4" w14:textId="2BD6249E" w:rsidR="00C1733D" w:rsidRDefault="00050BDC" w:rsidP="0046777C">
            <w:r>
              <w:t>By Aug 14</w:t>
            </w:r>
          </w:p>
        </w:tc>
        <w:tc>
          <w:tcPr>
            <w:tcW w:w="885" w:type="pct"/>
          </w:tcPr>
          <w:p w14:paraId="0784BBE5" w14:textId="00EFE6DF" w:rsidR="00C1733D" w:rsidRDefault="00C1733D" w:rsidP="0046777C">
            <w:r>
              <w:t xml:space="preserve">Rick </w:t>
            </w:r>
            <w:r w:rsidR="00A65DB1">
              <w:t>Hopson and Rich Farrington</w:t>
            </w:r>
          </w:p>
        </w:tc>
      </w:tr>
      <w:tr w:rsidR="006E47DD" w14:paraId="15C5A7DB" w14:textId="77777777" w:rsidTr="005E1804">
        <w:tc>
          <w:tcPr>
            <w:tcW w:w="3078" w:type="pct"/>
          </w:tcPr>
          <w:p w14:paraId="5D6F7771" w14:textId="77777777" w:rsidR="006E47DD" w:rsidRDefault="005E1804" w:rsidP="0046777C">
            <w:pPr>
              <w:tabs>
                <w:tab w:val="center" w:pos="4680"/>
              </w:tabs>
            </w:pPr>
            <w:r>
              <w:t xml:space="preserve">Send out MOTOR M2K materials for the Aug 12 meeting. </w:t>
            </w:r>
          </w:p>
        </w:tc>
        <w:tc>
          <w:tcPr>
            <w:tcW w:w="1037" w:type="pct"/>
          </w:tcPr>
          <w:p w14:paraId="1846150D" w14:textId="77777777" w:rsidR="006E47DD" w:rsidRDefault="005E1804" w:rsidP="0046777C">
            <w:r>
              <w:t>Aug 5</w:t>
            </w:r>
          </w:p>
        </w:tc>
        <w:tc>
          <w:tcPr>
            <w:tcW w:w="885" w:type="pct"/>
          </w:tcPr>
          <w:p w14:paraId="53A255E2" w14:textId="77777777" w:rsidR="006E47DD" w:rsidRDefault="005E1804" w:rsidP="0046777C">
            <w:r>
              <w:t xml:space="preserve">Michael </w:t>
            </w:r>
            <w:proofErr w:type="spellStart"/>
            <w:r>
              <w:t>Jow</w:t>
            </w:r>
            <w:proofErr w:type="spellEnd"/>
          </w:p>
        </w:tc>
      </w:tr>
      <w:tr w:rsidR="006E47DD" w14:paraId="3CD68CE2" w14:textId="77777777" w:rsidTr="005E1804">
        <w:tc>
          <w:tcPr>
            <w:tcW w:w="3078" w:type="pct"/>
          </w:tcPr>
          <w:p w14:paraId="5AC52D7C" w14:textId="25228471" w:rsidR="006E47DD" w:rsidRPr="004137A3" w:rsidRDefault="00507221" w:rsidP="004137A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t>Update</w:t>
            </w:r>
            <w:r w:rsidR="006E47DD">
              <w:t xml:space="preserve"> the </w:t>
            </w:r>
            <w:r w:rsidR="004137A3">
              <w:t>g</w:t>
            </w:r>
            <w:r w:rsidR="004137A3">
              <w:rPr>
                <w:rFonts w:ascii="Calibri" w:hAnsi="Calibri" w:cs="Calibri"/>
                <w:color w:val="000000"/>
              </w:rPr>
              <w:t>reen/yellow/red light list of potentially controversial actions</w:t>
            </w:r>
            <w:r w:rsidR="004137A3">
              <w:rPr>
                <w:rFonts w:ascii="Calibri" w:hAnsi="Calibri" w:cs="Calibri"/>
                <w:color w:val="000000"/>
              </w:rPr>
              <w:t xml:space="preserve"> </w:t>
            </w:r>
            <w:r w:rsidR="006E47DD">
              <w:t>per</w:t>
            </w:r>
            <w:r w:rsidR="00030B1D">
              <w:t xml:space="preserve"> 7/24</w:t>
            </w:r>
            <w:r w:rsidR="006E47DD">
              <w:t xml:space="preserve"> discussion</w:t>
            </w:r>
            <w:r>
              <w:t>.</w:t>
            </w:r>
          </w:p>
        </w:tc>
        <w:tc>
          <w:tcPr>
            <w:tcW w:w="1037" w:type="pct"/>
          </w:tcPr>
          <w:p w14:paraId="596EDF56" w14:textId="77777777" w:rsidR="006E47DD" w:rsidRDefault="006E47DD" w:rsidP="0046777C">
            <w:r>
              <w:t>Early August</w:t>
            </w:r>
          </w:p>
        </w:tc>
        <w:tc>
          <w:tcPr>
            <w:tcW w:w="885" w:type="pct"/>
          </w:tcPr>
          <w:p w14:paraId="0D7AD8A9" w14:textId="77777777" w:rsidR="006E47DD" w:rsidRDefault="006E47DD" w:rsidP="0046777C">
            <w:r>
              <w:t>Tania</w:t>
            </w:r>
            <w:r w:rsidR="00D50389">
              <w:t xml:space="preserve"> Carlone</w:t>
            </w:r>
          </w:p>
        </w:tc>
      </w:tr>
      <w:tr w:rsidR="00051C5E" w14:paraId="235AEDC3" w14:textId="77777777" w:rsidTr="005E1804">
        <w:tc>
          <w:tcPr>
            <w:tcW w:w="3078" w:type="pct"/>
          </w:tcPr>
          <w:p w14:paraId="0DE78A81" w14:textId="299D66A5" w:rsidR="00051C5E" w:rsidRDefault="00051C5E" w:rsidP="0046777C">
            <w:pPr>
              <w:tabs>
                <w:tab w:val="center" w:pos="4680"/>
              </w:tabs>
            </w:pPr>
            <w:r>
              <w:t>Provide conference call line for future Planning WG meetings</w:t>
            </w:r>
            <w:r w:rsidR="00507221">
              <w:t>.</w:t>
            </w:r>
          </w:p>
        </w:tc>
        <w:tc>
          <w:tcPr>
            <w:tcW w:w="1037" w:type="pct"/>
          </w:tcPr>
          <w:p w14:paraId="06B92686" w14:textId="77777777" w:rsidR="00051C5E" w:rsidRDefault="00051C5E" w:rsidP="0046777C">
            <w:r>
              <w:t>Next Planning WG meeting</w:t>
            </w:r>
          </w:p>
        </w:tc>
        <w:tc>
          <w:tcPr>
            <w:tcW w:w="885" w:type="pct"/>
          </w:tcPr>
          <w:p w14:paraId="080783E0" w14:textId="77777777" w:rsidR="00051C5E" w:rsidRDefault="00051C5E" w:rsidP="0046777C">
            <w:r>
              <w:t>CBI</w:t>
            </w:r>
          </w:p>
        </w:tc>
      </w:tr>
    </w:tbl>
    <w:p w14:paraId="72600CF5" w14:textId="77777777" w:rsidR="006E47DD" w:rsidRDefault="006E47DD"/>
    <w:p w14:paraId="69DDF8E7" w14:textId="77777777" w:rsidR="005E1804" w:rsidRPr="00042082" w:rsidRDefault="005E1804" w:rsidP="00042082">
      <w:pPr>
        <w:keepNext/>
        <w:keepLines/>
        <w:spacing w:before="240" w:after="0"/>
        <w:outlineLvl w:val="0"/>
        <w:rPr>
          <w:rFonts w:ascii="Arial Rounded MT Bold" w:eastAsia="Times New Roman" w:hAnsi="Arial Rounded MT Bold" w:cs="Times New Roman"/>
          <w:color w:val="000000"/>
          <w:sz w:val="28"/>
          <w:szCs w:val="32"/>
        </w:rPr>
      </w:pPr>
      <w:r w:rsidRPr="00042082">
        <w:rPr>
          <w:rFonts w:ascii="Arial Rounded MT Bold" w:eastAsia="Times New Roman" w:hAnsi="Arial Rounded MT Bold" w:cs="Times New Roman"/>
          <w:color w:val="000000"/>
          <w:sz w:val="28"/>
          <w:szCs w:val="32"/>
        </w:rPr>
        <w:t>Next Steps</w:t>
      </w:r>
    </w:p>
    <w:p w14:paraId="03A2B753" w14:textId="77777777" w:rsidR="005E1804" w:rsidRDefault="00C1733D" w:rsidP="00042082">
      <w:pPr>
        <w:pStyle w:val="ListParagraph"/>
        <w:numPr>
          <w:ilvl w:val="0"/>
          <w:numId w:val="2"/>
        </w:numPr>
      </w:pPr>
      <w:r>
        <w:t>Planning WG will</w:t>
      </w:r>
      <w:r w:rsidR="005E1804">
        <w:t xml:space="preserve"> final</w:t>
      </w:r>
      <w:r>
        <w:t>ize</w:t>
      </w:r>
      <w:r w:rsidR="005E1804">
        <w:t xml:space="preserve"> takeaways from the </w:t>
      </w:r>
      <w:proofErr w:type="spellStart"/>
      <w:r w:rsidR="005E1804">
        <w:t>Scottiago</w:t>
      </w:r>
      <w:proofErr w:type="spellEnd"/>
      <w:r w:rsidR="005E1804">
        <w:t xml:space="preserve"> Field Trip and share at the next ACCG General Meeting. </w:t>
      </w:r>
    </w:p>
    <w:p w14:paraId="145F92DE" w14:textId="77777777" w:rsidR="005E1804" w:rsidRDefault="005E1804" w:rsidP="00042082">
      <w:pPr>
        <w:pStyle w:val="ListParagraph"/>
        <w:numPr>
          <w:ilvl w:val="0"/>
          <w:numId w:val="2"/>
        </w:numPr>
      </w:pPr>
      <w:r>
        <w:t xml:space="preserve">SLAWG will </w:t>
      </w:r>
      <w:r w:rsidR="00065AB7">
        <w:t>present an updated pilot project mapper at the next ACCG General Meeting</w:t>
      </w:r>
      <w:r w:rsidR="00D87521">
        <w:t xml:space="preserve"> </w:t>
      </w:r>
      <w:r w:rsidR="00D50389">
        <w:t>(explaining the purpose</w:t>
      </w:r>
      <w:r w:rsidR="00C1733D">
        <w:t>,</w:t>
      </w:r>
      <w:r w:rsidR="00D50389">
        <w:t xml:space="preserve"> need</w:t>
      </w:r>
      <w:r w:rsidR="00C1733D">
        <w:t>, and Planning WG input</w:t>
      </w:r>
      <w:r w:rsidR="00D50389">
        <w:t xml:space="preserve">) </w:t>
      </w:r>
      <w:r w:rsidR="009C3EF6">
        <w:t>and request project data from ACCG members (with clear parameters on the type of data and format</w:t>
      </w:r>
      <w:r w:rsidR="00620580">
        <w:t>)</w:t>
      </w:r>
      <w:r w:rsidR="00C1733D">
        <w:t>.</w:t>
      </w:r>
    </w:p>
    <w:p w14:paraId="31920C77" w14:textId="77777777" w:rsidR="00C1733D" w:rsidRDefault="00C1733D" w:rsidP="00042082">
      <w:pPr>
        <w:pStyle w:val="ListParagraph"/>
        <w:numPr>
          <w:ilvl w:val="0"/>
          <w:numId w:val="2"/>
        </w:numPr>
      </w:pPr>
      <w:r>
        <w:t>ACCG members at the General Meeting will consider the Planning WG’s recommendation for consensus letter of support of the Power Fire Culvert project implementation.</w:t>
      </w:r>
    </w:p>
    <w:p w14:paraId="4AF50573" w14:textId="77777777" w:rsidR="00C1733D" w:rsidRDefault="00C1733D" w:rsidP="00042082">
      <w:pPr>
        <w:pStyle w:val="ListParagraph"/>
        <w:numPr>
          <w:ilvl w:val="0"/>
          <w:numId w:val="2"/>
        </w:numPr>
      </w:pPr>
      <w:r>
        <w:t xml:space="preserve">USFS will hold the next MOTOR M2K meeting on August 12 in Sonora (multiple Planning WG members and CBI plan to attend). USFS aims to send out materials 1 week prior to the meeting. USFS will share a draft “skeleton” outline of the proposed action in development for the Planning WG to review and provide input at the next WG meeting.  </w:t>
      </w:r>
    </w:p>
    <w:p w14:paraId="34DEECE9" w14:textId="693DD757" w:rsidR="00030B1D" w:rsidRDefault="00030B1D" w:rsidP="00042082">
      <w:pPr>
        <w:pStyle w:val="ListParagraph"/>
        <w:numPr>
          <w:ilvl w:val="0"/>
          <w:numId w:val="2"/>
        </w:numPr>
      </w:pPr>
      <w:r>
        <w:t>CBI will update the document identifying potentially controversial/non-controversial actions (</w:t>
      </w:r>
      <w:r w:rsidR="004137A3">
        <w:t>green/yellow/red</w:t>
      </w:r>
      <w:r>
        <w:t xml:space="preserve"> light doc) per the 7/24 Planning WG discussion. Planning WG will provide update on this effort at the next General Meeting and further discuss at the next Planning WG meeting. </w:t>
      </w:r>
    </w:p>
    <w:sectPr w:rsidR="00030B1D" w:rsidSect="0013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594"/>
    <w:multiLevelType w:val="hybridMultilevel"/>
    <w:tmpl w:val="B7548F5A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76F3"/>
    <w:multiLevelType w:val="hybridMultilevel"/>
    <w:tmpl w:val="51A6A7E4"/>
    <w:lvl w:ilvl="0" w:tplc="ED38267A">
      <w:start w:val="3"/>
      <w:numFmt w:val="bullet"/>
      <w:lvlText w:val="-"/>
      <w:lvlJc w:val="left"/>
      <w:pPr>
        <w:ind w:left="720" w:hanging="360"/>
      </w:pPr>
      <w:rPr>
        <w:rFonts w:ascii="Avenir Roman" w:eastAsia="Open Sans" w:hAnsi="Avenir Roman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0D05"/>
    <w:multiLevelType w:val="hybridMultilevel"/>
    <w:tmpl w:val="5582D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3063"/>
    <w:multiLevelType w:val="hybridMultilevel"/>
    <w:tmpl w:val="E782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DD"/>
    <w:rsid w:val="00027BAB"/>
    <w:rsid w:val="00030B1D"/>
    <w:rsid w:val="00042082"/>
    <w:rsid w:val="00050BDC"/>
    <w:rsid w:val="00051C5E"/>
    <w:rsid w:val="00065AB7"/>
    <w:rsid w:val="00107DB9"/>
    <w:rsid w:val="0013154A"/>
    <w:rsid w:val="00154206"/>
    <w:rsid w:val="00294884"/>
    <w:rsid w:val="00317B47"/>
    <w:rsid w:val="003438AE"/>
    <w:rsid w:val="004137A3"/>
    <w:rsid w:val="00420C96"/>
    <w:rsid w:val="00477DF0"/>
    <w:rsid w:val="00507221"/>
    <w:rsid w:val="005E1804"/>
    <w:rsid w:val="00620580"/>
    <w:rsid w:val="006C5218"/>
    <w:rsid w:val="006E2927"/>
    <w:rsid w:val="006E47DD"/>
    <w:rsid w:val="007C6F85"/>
    <w:rsid w:val="007E65E4"/>
    <w:rsid w:val="009C3EF6"/>
    <w:rsid w:val="009E594D"/>
    <w:rsid w:val="009F0B45"/>
    <w:rsid w:val="009F2962"/>
    <w:rsid w:val="00A31059"/>
    <w:rsid w:val="00A65DB1"/>
    <w:rsid w:val="00B20D90"/>
    <w:rsid w:val="00C1733D"/>
    <w:rsid w:val="00D50389"/>
    <w:rsid w:val="00D87521"/>
    <w:rsid w:val="00DD7365"/>
    <w:rsid w:val="00E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03BF"/>
  <w15:chartTrackingRefBased/>
  <w15:docId w15:val="{DB4B0E28-9473-5146-BE79-547714B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7D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E594D"/>
    <w:pPr>
      <w:outlineLvl w:val="0"/>
    </w:pPr>
    <w:rPr>
      <w:b/>
      <w:color w:val="7ABDD2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rsid w:val="009E594D"/>
    <w:rPr>
      <w:rFonts w:ascii="Avenir Roman" w:hAnsi="Avenir Roman" w:cs="Open Sans"/>
      <w:b/>
      <w:color w:val="7ABDD2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 Roman" w:hAnsi="Avenir Roman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 Roman" w:hAnsi="Avenir Roman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 Roman" w:hAnsi="Avenir Roman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 Roman" w:hAnsi="Avenir Roman" w:cs="Open Sans"/>
      <w:i/>
      <w:iCs/>
      <w:color w:val="7ABDD2"/>
      <w:sz w:val="22"/>
      <w:szCs w:val="22"/>
      <w:lang w:val="en"/>
    </w:rPr>
  </w:style>
  <w:style w:type="table" w:styleId="TableGrid">
    <w:name w:val="Table Grid"/>
    <w:basedOn w:val="TableNormal"/>
    <w:uiPriority w:val="39"/>
    <w:rsid w:val="006E47D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adaptednetwork.org/collaborative-spatial-fire-management-getting-ahead-fire-using-potential-operational-delineations/" TargetMode="External"/><Relationship Id="rId5" Type="http://schemas.openxmlformats.org/officeDocument/2006/relationships/hyperlink" Target="https://www.youtube.com/watch?v=CmOD3fdpw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Horii</dc:creator>
  <cp:keywords/>
  <dc:description/>
  <cp:lastModifiedBy>Stephanie Horii</cp:lastModifiedBy>
  <cp:revision>7</cp:revision>
  <dcterms:created xsi:type="dcterms:W3CDTF">2019-07-26T23:22:00Z</dcterms:created>
  <dcterms:modified xsi:type="dcterms:W3CDTF">2019-07-26T23:39:00Z</dcterms:modified>
</cp:coreProperties>
</file>