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AD36" w14:textId="2E240733" w:rsidR="007C7F28" w:rsidRDefault="00FA7664" w:rsidP="007C7F28">
      <w:pPr>
        <w:pStyle w:val="NoSpacing"/>
        <w:spacing w:after="240"/>
        <w:rPr>
          <w:b/>
          <w:bCs/>
          <w:sz w:val="26"/>
          <w:szCs w:val="26"/>
        </w:rPr>
      </w:pPr>
      <w:r w:rsidRPr="00BD1E5D">
        <w:rPr>
          <w:b/>
          <w:bCs/>
          <w:sz w:val="26"/>
          <w:szCs w:val="26"/>
        </w:rPr>
        <w:t>FPP Phase 1</w:t>
      </w:r>
      <w:r w:rsidR="00293AF3">
        <w:rPr>
          <w:b/>
          <w:bCs/>
          <w:sz w:val="26"/>
          <w:szCs w:val="26"/>
        </w:rPr>
        <w:t xml:space="preserve"> -- </w:t>
      </w:r>
      <w:r w:rsidR="004E6A09">
        <w:rPr>
          <w:b/>
          <w:bCs/>
          <w:sz w:val="26"/>
          <w:szCs w:val="26"/>
        </w:rPr>
        <w:t>Landscape</w:t>
      </w:r>
      <w:r w:rsidR="00330868" w:rsidRPr="00BD1E5D">
        <w:rPr>
          <w:b/>
          <w:bCs/>
          <w:sz w:val="26"/>
          <w:szCs w:val="26"/>
        </w:rPr>
        <w:t xml:space="preserve"> </w:t>
      </w:r>
      <w:r w:rsidR="004F19EA">
        <w:rPr>
          <w:b/>
          <w:bCs/>
          <w:sz w:val="26"/>
          <w:szCs w:val="26"/>
        </w:rPr>
        <w:t xml:space="preserve">Current </w:t>
      </w:r>
      <w:r w:rsidR="00330868" w:rsidRPr="00BD1E5D">
        <w:rPr>
          <w:b/>
          <w:bCs/>
          <w:sz w:val="26"/>
          <w:szCs w:val="26"/>
        </w:rPr>
        <w:t>Conditions Assessment</w:t>
      </w:r>
      <w:r w:rsidR="00077DB6">
        <w:rPr>
          <w:b/>
          <w:bCs/>
          <w:sz w:val="26"/>
          <w:szCs w:val="26"/>
        </w:rPr>
        <w:t>, Prioritization Process</w:t>
      </w:r>
      <w:r w:rsidR="00293AF3">
        <w:rPr>
          <w:b/>
          <w:bCs/>
          <w:sz w:val="26"/>
          <w:szCs w:val="26"/>
        </w:rPr>
        <w:t xml:space="preserve"> &amp; </w:t>
      </w:r>
      <w:r w:rsidR="006F3628" w:rsidRPr="00BD1E5D">
        <w:rPr>
          <w:b/>
          <w:bCs/>
          <w:sz w:val="26"/>
          <w:szCs w:val="26"/>
        </w:rPr>
        <w:t xml:space="preserve">Identification of </w:t>
      </w:r>
      <w:r w:rsidR="003666E1">
        <w:rPr>
          <w:b/>
          <w:bCs/>
          <w:sz w:val="26"/>
          <w:szCs w:val="26"/>
        </w:rPr>
        <w:t>Treatment Locations</w:t>
      </w:r>
    </w:p>
    <w:p w14:paraId="47106815" w14:textId="038F1781" w:rsidR="0078318F" w:rsidRDefault="0078318F" w:rsidP="007831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3/</w:t>
      </w:r>
      <w:r w:rsidR="00B31DD1">
        <w:rPr>
          <w:sz w:val="24"/>
          <w:szCs w:val="24"/>
        </w:rPr>
        <w:t>18</w:t>
      </w:r>
      <w:r>
        <w:rPr>
          <w:sz w:val="24"/>
          <w:szCs w:val="24"/>
        </w:rPr>
        <w:t>/2022</w:t>
      </w:r>
    </w:p>
    <w:p w14:paraId="11AA3710" w14:textId="6FB3D79C" w:rsidR="008269E1" w:rsidRPr="008269E1" w:rsidRDefault="008269E1" w:rsidP="00293AF3">
      <w:pPr>
        <w:pStyle w:val="NoSpacing"/>
        <w:spacing w:before="360" w:after="240"/>
        <w:rPr>
          <w:b/>
          <w:bCs/>
          <w:i/>
          <w:iCs/>
          <w:sz w:val="24"/>
          <w:szCs w:val="24"/>
        </w:rPr>
      </w:pPr>
      <w:r w:rsidRPr="008269E1">
        <w:rPr>
          <w:b/>
          <w:bCs/>
          <w:i/>
          <w:iCs/>
          <w:sz w:val="24"/>
          <w:szCs w:val="24"/>
        </w:rPr>
        <w:t>Background</w:t>
      </w:r>
    </w:p>
    <w:p w14:paraId="3B4F6FF9" w14:textId="76E394CD" w:rsidR="00E04DEA" w:rsidRDefault="001071B6" w:rsidP="00FA7664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>A la</w:t>
      </w:r>
      <w:r w:rsidR="00444489">
        <w:rPr>
          <w:sz w:val="24"/>
          <w:szCs w:val="24"/>
        </w:rPr>
        <w:t xml:space="preserve">ndscape-scale </w:t>
      </w:r>
      <w:r>
        <w:rPr>
          <w:sz w:val="24"/>
          <w:szCs w:val="24"/>
        </w:rPr>
        <w:t xml:space="preserve">conditions assessment and prioritization </w:t>
      </w:r>
      <w:r w:rsidR="007D4104">
        <w:rPr>
          <w:sz w:val="24"/>
          <w:szCs w:val="24"/>
        </w:rPr>
        <w:t xml:space="preserve">process </w:t>
      </w:r>
      <w:r w:rsidR="00BB1FDE">
        <w:rPr>
          <w:sz w:val="24"/>
          <w:szCs w:val="24"/>
        </w:rPr>
        <w:t>were</w:t>
      </w:r>
      <w:r>
        <w:rPr>
          <w:sz w:val="24"/>
          <w:szCs w:val="24"/>
        </w:rPr>
        <w:t xml:space="preserve"> conducted to</w:t>
      </w:r>
      <w:r w:rsidR="0014004A">
        <w:rPr>
          <w:sz w:val="24"/>
          <w:szCs w:val="24"/>
        </w:rPr>
        <w:t xml:space="preserve"> (1) evaluate </w:t>
      </w:r>
      <w:r w:rsidR="00CA7083">
        <w:rPr>
          <w:sz w:val="24"/>
          <w:szCs w:val="24"/>
        </w:rPr>
        <w:t>current ecological, social</w:t>
      </w:r>
      <w:r w:rsidR="00952193">
        <w:rPr>
          <w:sz w:val="24"/>
          <w:szCs w:val="24"/>
        </w:rPr>
        <w:t>,</w:t>
      </w:r>
      <w:r w:rsidR="00CA7083">
        <w:rPr>
          <w:sz w:val="24"/>
          <w:szCs w:val="24"/>
        </w:rPr>
        <w:t xml:space="preserve"> and wildfire-related</w:t>
      </w:r>
      <w:r w:rsidR="00AC09DD">
        <w:rPr>
          <w:sz w:val="24"/>
          <w:szCs w:val="24"/>
        </w:rPr>
        <w:t xml:space="preserve"> </w:t>
      </w:r>
      <w:r w:rsidR="00005317">
        <w:rPr>
          <w:sz w:val="24"/>
          <w:szCs w:val="24"/>
        </w:rPr>
        <w:t>condition</w:t>
      </w:r>
      <w:r w:rsidR="00CA7083">
        <w:rPr>
          <w:sz w:val="24"/>
          <w:szCs w:val="24"/>
        </w:rPr>
        <w:t xml:space="preserve">s across </w:t>
      </w:r>
      <w:r w:rsidR="00952193">
        <w:rPr>
          <w:sz w:val="24"/>
          <w:szCs w:val="24"/>
        </w:rPr>
        <w:t>the Phase 1</w:t>
      </w:r>
      <w:r w:rsidR="00CA7083">
        <w:rPr>
          <w:sz w:val="24"/>
          <w:szCs w:val="24"/>
        </w:rPr>
        <w:t xml:space="preserve"> </w:t>
      </w:r>
      <w:r w:rsidR="003F4FE9">
        <w:rPr>
          <w:sz w:val="24"/>
          <w:szCs w:val="24"/>
        </w:rPr>
        <w:t xml:space="preserve">proposed </w:t>
      </w:r>
      <w:r w:rsidR="00CA7083">
        <w:rPr>
          <w:sz w:val="24"/>
          <w:szCs w:val="24"/>
        </w:rPr>
        <w:t xml:space="preserve">project </w:t>
      </w:r>
      <w:r w:rsidR="00C7290D">
        <w:rPr>
          <w:sz w:val="24"/>
          <w:szCs w:val="24"/>
        </w:rPr>
        <w:t>area</w:t>
      </w:r>
      <w:r w:rsidR="00005317">
        <w:rPr>
          <w:sz w:val="24"/>
          <w:szCs w:val="24"/>
        </w:rPr>
        <w:t xml:space="preserve">, </w:t>
      </w:r>
      <w:r w:rsidR="0014004A">
        <w:rPr>
          <w:sz w:val="24"/>
          <w:szCs w:val="24"/>
        </w:rPr>
        <w:t xml:space="preserve">and (2) </w:t>
      </w:r>
      <w:r w:rsidR="00952193">
        <w:rPr>
          <w:sz w:val="24"/>
          <w:szCs w:val="24"/>
        </w:rPr>
        <w:t xml:space="preserve">to use this assessment </w:t>
      </w:r>
      <w:r w:rsidR="0014004A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CA7083">
        <w:rPr>
          <w:sz w:val="24"/>
          <w:szCs w:val="24"/>
        </w:rPr>
        <w:t xml:space="preserve">strategically </w:t>
      </w:r>
      <w:r>
        <w:rPr>
          <w:sz w:val="24"/>
          <w:szCs w:val="24"/>
        </w:rPr>
        <w:t>identify priority areas for proposed mechanical fuels reduction treatment</w:t>
      </w:r>
      <w:r w:rsidR="0016014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4F19EA">
        <w:rPr>
          <w:sz w:val="24"/>
          <w:szCs w:val="24"/>
        </w:rPr>
        <w:t xml:space="preserve">(Note: This process was not used to prioritize the other fuels reduction treatments proposed in Phase 1 - hand thinning and prescribed burning. Rather, FS specialists </w:t>
      </w:r>
      <w:r w:rsidR="00A11444">
        <w:rPr>
          <w:sz w:val="24"/>
          <w:szCs w:val="24"/>
        </w:rPr>
        <w:t>identified</w:t>
      </w:r>
      <w:r w:rsidR="004F19EA">
        <w:rPr>
          <w:sz w:val="24"/>
          <w:szCs w:val="24"/>
        </w:rPr>
        <w:t xml:space="preserve"> large, contiguous hand thinning and prescribed burning treatment</w:t>
      </w:r>
      <w:r w:rsidR="00CF2CC3">
        <w:rPr>
          <w:sz w:val="24"/>
          <w:szCs w:val="24"/>
        </w:rPr>
        <w:t xml:space="preserve"> areas</w:t>
      </w:r>
      <w:r w:rsidR="004F19EA">
        <w:rPr>
          <w:sz w:val="24"/>
          <w:szCs w:val="24"/>
        </w:rPr>
        <w:t xml:space="preserve"> across the proposed project area to maximize planning coverage </w:t>
      </w:r>
      <w:r w:rsidR="00A11444">
        <w:rPr>
          <w:sz w:val="24"/>
          <w:szCs w:val="24"/>
        </w:rPr>
        <w:t>and</w:t>
      </w:r>
      <w:r w:rsidR="004F19EA">
        <w:rPr>
          <w:sz w:val="24"/>
          <w:szCs w:val="24"/>
        </w:rPr>
        <w:t xml:space="preserve"> </w:t>
      </w:r>
      <w:r w:rsidR="00CF2CC3">
        <w:rPr>
          <w:sz w:val="24"/>
          <w:szCs w:val="24"/>
        </w:rPr>
        <w:t xml:space="preserve">maximize treatment location </w:t>
      </w:r>
      <w:r w:rsidR="004F19EA">
        <w:rPr>
          <w:sz w:val="24"/>
          <w:szCs w:val="24"/>
        </w:rPr>
        <w:t xml:space="preserve">flexibility </w:t>
      </w:r>
      <w:r w:rsidR="00A11444">
        <w:rPr>
          <w:sz w:val="24"/>
          <w:szCs w:val="24"/>
        </w:rPr>
        <w:t>during</w:t>
      </w:r>
      <w:r w:rsidR="004F19EA">
        <w:rPr>
          <w:sz w:val="24"/>
          <w:szCs w:val="24"/>
        </w:rPr>
        <w:t xml:space="preserve"> implementation. R</w:t>
      </w:r>
      <w:r w:rsidR="004F19EA">
        <w:rPr>
          <w:sz w:val="24"/>
          <w:szCs w:val="24"/>
        </w:rPr>
        <w:t>efer to the last section of this document for more details</w:t>
      </w:r>
      <w:r w:rsidR="004F19EA">
        <w:rPr>
          <w:sz w:val="24"/>
          <w:szCs w:val="24"/>
        </w:rPr>
        <w:t>.) The conditions</w:t>
      </w:r>
      <w:r>
        <w:rPr>
          <w:sz w:val="24"/>
          <w:szCs w:val="24"/>
        </w:rPr>
        <w:t xml:space="preserve"> </w:t>
      </w:r>
      <w:r w:rsidR="00952193">
        <w:rPr>
          <w:sz w:val="24"/>
          <w:szCs w:val="24"/>
        </w:rPr>
        <w:t>assessment</w:t>
      </w:r>
      <w:r w:rsidR="004F19EA">
        <w:rPr>
          <w:sz w:val="24"/>
          <w:szCs w:val="24"/>
        </w:rPr>
        <w:t xml:space="preserve"> and prioritization process</w:t>
      </w:r>
      <w:r>
        <w:rPr>
          <w:sz w:val="24"/>
          <w:szCs w:val="24"/>
        </w:rPr>
        <w:t xml:space="preserve"> utilize</w:t>
      </w:r>
      <w:r w:rsidR="00A11444">
        <w:rPr>
          <w:sz w:val="24"/>
          <w:szCs w:val="24"/>
        </w:rPr>
        <w:t>d</w:t>
      </w:r>
      <w:r w:rsidR="001B1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8269E1">
        <w:rPr>
          <w:sz w:val="24"/>
          <w:szCs w:val="24"/>
        </w:rPr>
        <w:t>GIS products</w:t>
      </w:r>
      <w:r>
        <w:rPr>
          <w:sz w:val="24"/>
          <w:szCs w:val="24"/>
        </w:rPr>
        <w:t xml:space="preserve"> developed </w:t>
      </w:r>
      <w:r w:rsidR="0078318F">
        <w:rPr>
          <w:sz w:val="24"/>
          <w:szCs w:val="24"/>
        </w:rPr>
        <w:t>by</w:t>
      </w:r>
      <w:r w:rsidR="00B2528F">
        <w:rPr>
          <w:sz w:val="24"/>
          <w:szCs w:val="24"/>
        </w:rPr>
        <w:t xml:space="preserve"> the </w:t>
      </w:r>
      <w:r>
        <w:rPr>
          <w:sz w:val="24"/>
          <w:szCs w:val="24"/>
        </w:rPr>
        <w:t>ACCG’s Strategic Landscape Assessment Work Group</w:t>
      </w:r>
      <w:r w:rsidR="0078318F">
        <w:rPr>
          <w:sz w:val="24"/>
          <w:szCs w:val="24"/>
        </w:rPr>
        <w:t xml:space="preserve"> </w:t>
      </w:r>
      <w:r w:rsidR="00B2528F">
        <w:rPr>
          <w:sz w:val="24"/>
          <w:szCs w:val="24"/>
        </w:rPr>
        <w:t>(</w:t>
      </w:r>
      <w:r w:rsidR="00B2528F" w:rsidRPr="00B2528F">
        <w:rPr>
          <w:sz w:val="24"/>
          <w:szCs w:val="24"/>
        </w:rPr>
        <w:t>ACCG SLAWG, 2020</w:t>
      </w:r>
      <w:r w:rsidR="00B2528F">
        <w:rPr>
          <w:sz w:val="24"/>
          <w:szCs w:val="24"/>
        </w:rPr>
        <w:t>)</w:t>
      </w:r>
      <w:r w:rsidR="003F4FE9">
        <w:rPr>
          <w:sz w:val="24"/>
          <w:szCs w:val="24"/>
        </w:rPr>
        <w:t>, and</w:t>
      </w:r>
      <w:r w:rsidR="00C7290D">
        <w:rPr>
          <w:sz w:val="24"/>
          <w:szCs w:val="24"/>
        </w:rPr>
        <w:t xml:space="preserve"> </w:t>
      </w:r>
      <w:r w:rsidR="003F4FE9">
        <w:rPr>
          <w:sz w:val="24"/>
          <w:szCs w:val="24"/>
        </w:rPr>
        <w:t xml:space="preserve">also </w:t>
      </w:r>
      <w:r w:rsidR="001B1D7D">
        <w:rPr>
          <w:sz w:val="24"/>
          <w:szCs w:val="24"/>
        </w:rPr>
        <w:t xml:space="preserve">metrics </w:t>
      </w:r>
      <w:r w:rsidR="00626329">
        <w:rPr>
          <w:sz w:val="24"/>
          <w:szCs w:val="24"/>
        </w:rPr>
        <w:t>utilized</w:t>
      </w:r>
      <w:r w:rsidR="001B1D7D">
        <w:rPr>
          <w:sz w:val="24"/>
          <w:szCs w:val="24"/>
        </w:rPr>
        <w:t xml:space="preserve"> in </w:t>
      </w:r>
      <w:r w:rsidR="00626329">
        <w:rPr>
          <w:sz w:val="24"/>
          <w:szCs w:val="24"/>
        </w:rPr>
        <w:t>other</w:t>
      </w:r>
      <w:r w:rsidR="003F4FE9">
        <w:rPr>
          <w:sz w:val="24"/>
          <w:szCs w:val="24"/>
        </w:rPr>
        <w:t xml:space="preserve"> planning efforts (USDA Forest Service, 2021; Wilson et al. 2021)</w:t>
      </w:r>
      <w:r w:rsidR="00B2528F">
        <w:rPr>
          <w:sz w:val="24"/>
          <w:szCs w:val="24"/>
        </w:rPr>
        <w:t>.</w:t>
      </w:r>
      <w:r w:rsidR="008459E6">
        <w:rPr>
          <w:sz w:val="24"/>
          <w:szCs w:val="24"/>
        </w:rPr>
        <w:t xml:space="preserve"> </w:t>
      </w:r>
    </w:p>
    <w:p w14:paraId="07039A9E" w14:textId="711ED51E" w:rsidR="001071B6" w:rsidRDefault="000A08BC" w:rsidP="00FA7664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>The</w:t>
      </w:r>
      <w:r w:rsidR="007D4104">
        <w:rPr>
          <w:sz w:val="24"/>
          <w:szCs w:val="24"/>
        </w:rPr>
        <w:t xml:space="preserve"> </w:t>
      </w:r>
      <w:r w:rsidR="00BB1FDE">
        <w:rPr>
          <w:sz w:val="24"/>
          <w:szCs w:val="24"/>
        </w:rPr>
        <w:t>intent</w:t>
      </w:r>
      <w:r w:rsidR="007D4104">
        <w:rPr>
          <w:sz w:val="24"/>
          <w:szCs w:val="24"/>
        </w:rPr>
        <w:t xml:space="preserve"> </w:t>
      </w:r>
      <w:r w:rsidR="003F4FE9">
        <w:rPr>
          <w:sz w:val="24"/>
          <w:szCs w:val="24"/>
        </w:rPr>
        <w:t xml:space="preserve">of this assessment </w:t>
      </w:r>
      <w:r w:rsidR="00C7290D">
        <w:rPr>
          <w:sz w:val="24"/>
          <w:szCs w:val="24"/>
        </w:rPr>
        <w:t xml:space="preserve">and prioritization process </w:t>
      </w:r>
      <w:r w:rsidR="00BB1FDE">
        <w:rPr>
          <w:sz w:val="24"/>
          <w:szCs w:val="24"/>
        </w:rPr>
        <w:t>was</w:t>
      </w:r>
      <w:r w:rsidR="007D4104">
        <w:rPr>
          <w:sz w:val="24"/>
          <w:szCs w:val="24"/>
        </w:rPr>
        <w:t xml:space="preserve"> </w:t>
      </w:r>
      <w:r w:rsidR="007D4104" w:rsidRPr="0000095F">
        <w:rPr>
          <w:i/>
          <w:iCs/>
          <w:sz w:val="24"/>
          <w:szCs w:val="24"/>
        </w:rPr>
        <w:t>not</w:t>
      </w:r>
      <w:r w:rsidR="007D4104">
        <w:rPr>
          <w:sz w:val="24"/>
          <w:szCs w:val="24"/>
        </w:rPr>
        <w:t xml:space="preserve"> to </w:t>
      </w:r>
      <w:r w:rsidR="00BB1FDE">
        <w:rPr>
          <w:sz w:val="24"/>
          <w:szCs w:val="24"/>
        </w:rPr>
        <w:t xml:space="preserve">perform a comprehensive </w:t>
      </w:r>
      <w:r w:rsidR="00444489">
        <w:rPr>
          <w:sz w:val="24"/>
          <w:szCs w:val="24"/>
        </w:rPr>
        <w:t>analysis</w:t>
      </w:r>
      <w:r w:rsidR="00BB1FDE">
        <w:rPr>
          <w:sz w:val="24"/>
          <w:szCs w:val="24"/>
        </w:rPr>
        <w:t xml:space="preserve"> of the</w:t>
      </w:r>
      <w:r w:rsidR="00444489">
        <w:rPr>
          <w:sz w:val="24"/>
          <w:szCs w:val="24"/>
        </w:rPr>
        <w:t xml:space="preserve"> </w:t>
      </w:r>
      <w:r w:rsidR="00BB1FDE">
        <w:rPr>
          <w:sz w:val="24"/>
          <w:szCs w:val="24"/>
        </w:rPr>
        <w:t xml:space="preserve">landscape departure from the natural range of variability, or to </w:t>
      </w:r>
      <w:r w:rsidR="007D4104">
        <w:rPr>
          <w:sz w:val="24"/>
          <w:szCs w:val="24"/>
        </w:rPr>
        <w:t>model future desired conditions</w:t>
      </w:r>
      <w:r w:rsidR="001B1D7D">
        <w:rPr>
          <w:sz w:val="24"/>
          <w:szCs w:val="24"/>
        </w:rPr>
        <w:t xml:space="preserve">, but rather to simply </w:t>
      </w:r>
      <w:r w:rsidR="00785883">
        <w:rPr>
          <w:sz w:val="24"/>
          <w:szCs w:val="24"/>
        </w:rPr>
        <w:t>assess</w:t>
      </w:r>
      <w:r w:rsidR="001B1D7D">
        <w:rPr>
          <w:sz w:val="24"/>
          <w:szCs w:val="24"/>
        </w:rPr>
        <w:t xml:space="preserve"> </w:t>
      </w:r>
      <w:r w:rsidR="00DC376C">
        <w:rPr>
          <w:sz w:val="24"/>
          <w:szCs w:val="24"/>
        </w:rPr>
        <w:t>current</w:t>
      </w:r>
      <w:r w:rsidR="00785883">
        <w:rPr>
          <w:sz w:val="24"/>
          <w:szCs w:val="24"/>
        </w:rPr>
        <w:t xml:space="preserve"> conditions</w:t>
      </w:r>
      <w:r w:rsidR="00DC376C">
        <w:rPr>
          <w:sz w:val="24"/>
          <w:szCs w:val="24"/>
        </w:rPr>
        <w:t xml:space="preserve"> to</w:t>
      </w:r>
      <w:r w:rsidR="001B1D7D">
        <w:rPr>
          <w:sz w:val="24"/>
          <w:szCs w:val="24"/>
        </w:rPr>
        <w:t xml:space="preserve"> </w:t>
      </w:r>
      <w:r w:rsidR="00785883">
        <w:rPr>
          <w:sz w:val="24"/>
          <w:szCs w:val="24"/>
        </w:rPr>
        <w:t>strategically inform locations for near-term ladder fuels reduction implementation</w:t>
      </w:r>
      <w:r w:rsidR="004E6A09">
        <w:rPr>
          <w:sz w:val="24"/>
          <w:szCs w:val="24"/>
        </w:rPr>
        <w:t xml:space="preserve"> on national forest lands</w:t>
      </w:r>
      <w:r w:rsidR="00785883">
        <w:rPr>
          <w:sz w:val="24"/>
          <w:szCs w:val="24"/>
        </w:rPr>
        <w:t xml:space="preserve"> – a </w:t>
      </w:r>
      <w:r w:rsidR="007D4104">
        <w:rPr>
          <w:sz w:val="24"/>
          <w:szCs w:val="24"/>
        </w:rPr>
        <w:t xml:space="preserve">more comprehensive landscape </w:t>
      </w:r>
      <w:r w:rsidR="00BB1FDE">
        <w:rPr>
          <w:sz w:val="24"/>
          <w:szCs w:val="24"/>
        </w:rPr>
        <w:t xml:space="preserve">analysis </w:t>
      </w:r>
      <w:r w:rsidR="007D4104">
        <w:rPr>
          <w:sz w:val="24"/>
          <w:szCs w:val="24"/>
        </w:rPr>
        <w:t xml:space="preserve">is </w:t>
      </w:r>
      <w:r w:rsidR="00BB1FDE">
        <w:rPr>
          <w:sz w:val="24"/>
          <w:szCs w:val="24"/>
        </w:rPr>
        <w:t>proposed</w:t>
      </w:r>
      <w:r w:rsidR="007D4104">
        <w:rPr>
          <w:sz w:val="24"/>
          <w:szCs w:val="24"/>
        </w:rPr>
        <w:t xml:space="preserve"> for </w:t>
      </w:r>
      <w:r w:rsidR="00924501">
        <w:rPr>
          <w:sz w:val="24"/>
          <w:szCs w:val="24"/>
        </w:rPr>
        <w:t xml:space="preserve">FPP </w:t>
      </w:r>
      <w:r w:rsidR="00F2649B">
        <w:rPr>
          <w:sz w:val="24"/>
          <w:szCs w:val="24"/>
        </w:rPr>
        <w:t>Phase 2</w:t>
      </w:r>
      <w:r w:rsidR="007D4104">
        <w:rPr>
          <w:sz w:val="24"/>
          <w:szCs w:val="24"/>
        </w:rPr>
        <w:t>.</w:t>
      </w:r>
    </w:p>
    <w:p w14:paraId="55BA5E7E" w14:textId="7D9E383F" w:rsidR="008269E1" w:rsidRPr="008269E1" w:rsidRDefault="00A0793C" w:rsidP="00293AF3">
      <w:pPr>
        <w:pStyle w:val="NoSpacing"/>
        <w:spacing w:before="360" w:after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Landscape</w:t>
      </w:r>
      <w:r w:rsidR="008269E1" w:rsidRPr="008269E1">
        <w:rPr>
          <w:b/>
          <w:bCs/>
          <w:i/>
          <w:iCs/>
          <w:sz w:val="24"/>
          <w:szCs w:val="24"/>
        </w:rPr>
        <w:t xml:space="preserve"> Conditions Assessment</w:t>
      </w:r>
    </w:p>
    <w:p w14:paraId="58BD4E5D" w14:textId="2AF163DB" w:rsidR="008269E1" w:rsidRDefault="008269E1" w:rsidP="006F2B46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14004A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assessment, four broad categories were used to characterize current conditions across the proposed project landscape </w:t>
      </w:r>
      <w:r w:rsidR="00626329">
        <w:rPr>
          <w:sz w:val="24"/>
          <w:szCs w:val="24"/>
        </w:rPr>
        <w:t xml:space="preserve">(i.e., </w:t>
      </w:r>
      <w:r>
        <w:rPr>
          <w:sz w:val="24"/>
          <w:szCs w:val="24"/>
        </w:rPr>
        <w:t>communities, ecological resilience, wildlife habitat, and fire dynamics</w:t>
      </w:r>
      <w:r w:rsidR="00626329">
        <w:rPr>
          <w:sz w:val="24"/>
          <w:szCs w:val="24"/>
        </w:rPr>
        <w:t>)</w:t>
      </w:r>
      <w:r>
        <w:rPr>
          <w:sz w:val="24"/>
          <w:szCs w:val="24"/>
        </w:rPr>
        <w:t xml:space="preserve">. Each of these categories were further divided into sub-categories and various metrics, derived from the ACCG’s analysis (ACCG SLAWG 2020), and </w:t>
      </w:r>
      <w:r w:rsidR="00626329">
        <w:rPr>
          <w:sz w:val="24"/>
          <w:szCs w:val="24"/>
        </w:rPr>
        <w:t>other</w:t>
      </w:r>
      <w:r>
        <w:rPr>
          <w:sz w:val="24"/>
          <w:szCs w:val="24"/>
        </w:rPr>
        <w:t xml:space="preserve"> planning efforts (USDA Forest Service, 2021; Wilson et al. 2021)</w:t>
      </w:r>
      <w:r w:rsidR="00AC09DD">
        <w:rPr>
          <w:sz w:val="24"/>
          <w:szCs w:val="24"/>
        </w:rPr>
        <w:t>. See Table 1 for more details</w:t>
      </w:r>
      <w:r>
        <w:rPr>
          <w:sz w:val="24"/>
          <w:szCs w:val="24"/>
        </w:rPr>
        <w:t>.</w:t>
      </w:r>
    </w:p>
    <w:p w14:paraId="28801794" w14:textId="25D7058F" w:rsidR="00924501" w:rsidRDefault="006F2B46" w:rsidP="006F2B46">
      <w:pPr>
        <w:pStyle w:val="NoSpacing"/>
        <w:spacing w:after="240"/>
        <w:rPr>
          <w:sz w:val="24"/>
          <w:szCs w:val="24"/>
        </w:rPr>
      </w:pPr>
      <w:r w:rsidRPr="00790919">
        <w:rPr>
          <w:sz w:val="24"/>
          <w:szCs w:val="24"/>
        </w:rPr>
        <w:t xml:space="preserve">The </w:t>
      </w:r>
      <w:r>
        <w:rPr>
          <w:sz w:val="24"/>
          <w:szCs w:val="24"/>
        </w:rPr>
        <w:t>FPP</w:t>
      </w:r>
      <w:r w:rsidRPr="00790919">
        <w:rPr>
          <w:sz w:val="24"/>
          <w:szCs w:val="24"/>
        </w:rPr>
        <w:t xml:space="preserve"> Phase 1 </w:t>
      </w:r>
      <w:r>
        <w:rPr>
          <w:sz w:val="24"/>
          <w:szCs w:val="24"/>
        </w:rPr>
        <w:t xml:space="preserve">proposed </w:t>
      </w:r>
      <w:r w:rsidRPr="00790919">
        <w:rPr>
          <w:sz w:val="24"/>
          <w:szCs w:val="24"/>
        </w:rPr>
        <w:t xml:space="preserve">project </w:t>
      </w:r>
      <w:r>
        <w:rPr>
          <w:sz w:val="24"/>
          <w:szCs w:val="24"/>
        </w:rPr>
        <w:t>footprint</w:t>
      </w:r>
      <w:r w:rsidRPr="00790919">
        <w:rPr>
          <w:sz w:val="24"/>
          <w:szCs w:val="24"/>
        </w:rPr>
        <w:t xml:space="preserve"> (</w:t>
      </w:r>
      <w:r w:rsidR="003E545E">
        <w:rPr>
          <w:sz w:val="24"/>
          <w:szCs w:val="24"/>
        </w:rPr>
        <w:t>101,</w:t>
      </w:r>
      <w:r w:rsidR="002577D2">
        <w:rPr>
          <w:sz w:val="24"/>
          <w:szCs w:val="24"/>
        </w:rPr>
        <w:t>176</w:t>
      </w:r>
      <w:r w:rsidRPr="00790919">
        <w:rPr>
          <w:sz w:val="24"/>
          <w:szCs w:val="24"/>
        </w:rPr>
        <w:t xml:space="preserve"> acres) is </w:t>
      </w:r>
      <w:r>
        <w:rPr>
          <w:sz w:val="24"/>
          <w:szCs w:val="24"/>
        </w:rPr>
        <w:t xml:space="preserve">entirely </w:t>
      </w:r>
      <w:r w:rsidR="003E545E">
        <w:rPr>
          <w:sz w:val="24"/>
          <w:szCs w:val="24"/>
        </w:rPr>
        <w:t>within</w:t>
      </w:r>
      <w:r>
        <w:rPr>
          <w:sz w:val="24"/>
          <w:szCs w:val="24"/>
        </w:rPr>
        <w:t xml:space="preserve"> USFS lands </w:t>
      </w:r>
      <w:r w:rsidR="003E545E">
        <w:rPr>
          <w:sz w:val="24"/>
          <w:szCs w:val="24"/>
        </w:rPr>
        <w:t>in</w:t>
      </w:r>
      <w:r w:rsidRPr="00790919">
        <w:rPr>
          <w:sz w:val="24"/>
          <w:szCs w:val="24"/>
        </w:rPr>
        <w:t xml:space="preserve"> the Eldorado </w:t>
      </w:r>
      <w:r>
        <w:rPr>
          <w:sz w:val="24"/>
          <w:szCs w:val="24"/>
        </w:rPr>
        <w:t>National Forest</w:t>
      </w:r>
      <w:r w:rsidRPr="00790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(ENF) </w:t>
      </w:r>
      <w:r w:rsidRPr="00790919">
        <w:rPr>
          <w:sz w:val="24"/>
          <w:szCs w:val="24"/>
        </w:rPr>
        <w:t>Amador Ranger District</w:t>
      </w:r>
      <w:r>
        <w:rPr>
          <w:sz w:val="24"/>
          <w:szCs w:val="24"/>
        </w:rPr>
        <w:t xml:space="preserve">. The project </w:t>
      </w:r>
      <w:r w:rsidR="00286122">
        <w:rPr>
          <w:sz w:val="24"/>
          <w:szCs w:val="24"/>
        </w:rPr>
        <w:t xml:space="preserve">is </w:t>
      </w:r>
      <w:r w:rsidR="00286122" w:rsidRPr="00626329">
        <w:rPr>
          <w:i/>
          <w:iCs/>
          <w:sz w:val="24"/>
          <w:szCs w:val="24"/>
        </w:rPr>
        <w:t>not</w:t>
      </w:r>
      <w:r w:rsidR="00286122">
        <w:rPr>
          <w:sz w:val="24"/>
          <w:szCs w:val="24"/>
        </w:rPr>
        <w:t xml:space="preserve"> proposed on</w:t>
      </w:r>
      <w:r>
        <w:rPr>
          <w:sz w:val="24"/>
          <w:szCs w:val="24"/>
        </w:rPr>
        <w:t xml:space="preserve"> private land</w:t>
      </w:r>
      <w:r w:rsidR="00F3510D">
        <w:rPr>
          <w:sz w:val="24"/>
          <w:szCs w:val="24"/>
        </w:rPr>
        <w:t>s,</w:t>
      </w:r>
      <w:r w:rsidR="00286122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designated wilderness areas, </w:t>
      </w:r>
      <w:r w:rsidR="00F3510D">
        <w:rPr>
          <w:sz w:val="24"/>
          <w:szCs w:val="24"/>
        </w:rPr>
        <w:t xml:space="preserve">or </w:t>
      </w:r>
      <w:r w:rsidR="00784E1D">
        <w:rPr>
          <w:sz w:val="24"/>
          <w:szCs w:val="24"/>
        </w:rPr>
        <w:t>research natural</w:t>
      </w:r>
      <w:r w:rsidR="00F3510D">
        <w:rPr>
          <w:sz w:val="24"/>
          <w:szCs w:val="24"/>
        </w:rPr>
        <w:t xml:space="preserve"> areas, </w:t>
      </w:r>
      <w:r>
        <w:rPr>
          <w:sz w:val="24"/>
          <w:szCs w:val="24"/>
        </w:rPr>
        <w:t xml:space="preserve">though, </w:t>
      </w:r>
      <w:r w:rsidR="00784E1D">
        <w:rPr>
          <w:sz w:val="24"/>
          <w:szCs w:val="24"/>
        </w:rPr>
        <w:t>9</w:t>
      </w:r>
      <w:r>
        <w:rPr>
          <w:sz w:val="24"/>
          <w:szCs w:val="24"/>
        </w:rPr>
        <w:t xml:space="preserve">% </w:t>
      </w:r>
      <w:r w:rsidR="00784E1D">
        <w:rPr>
          <w:sz w:val="24"/>
          <w:szCs w:val="24"/>
        </w:rPr>
        <w:t xml:space="preserve">(9,311 acres) </w:t>
      </w:r>
      <w:r>
        <w:rPr>
          <w:sz w:val="24"/>
          <w:szCs w:val="24"/>
        </w:rPr>
        <w:t xml:space="preserve">of the proposed project area </w:t>
      </w:r>
      <w:r w:rsidR="000C462C">
        <w:rPr>
          <w:sz w:val="24"/>
          <w:szCs w:val="24"/>
        </w:rPr>
        <w:t>falls within</w:t>
      </w:r>
      <w:r>
        <w:rPr>
          <w:sz w:val="24"/>
          <w:szCs w:val="24"/>
        </w:rPr>
        <w:t xml:space="preserve"> proposed wilderness areas and </w:t>
      </w:r>
      <w:r w:rsidR="00C953F9">
        <w:rPr>
          <w:sz w:val="24"/>
          <w:szCs w:val="24"/>
        </w:rPr>
        <w:t>35</w:t>
      </w:r>
      <w:r>
        <w:rPr>
          <w:sz w:val="24"/>
          <w:szCs w:val="24"/>
        </w:rPr>
        <w:t>%</w:t>
      </w:r>
      <w:r w:rsidR="00784E1D">
        <w:rPr>
          <w:sz w:val="24"/>
          <w:szCs w:val="24"/>
        </w:rPr>
        <w:t xml:space="preserve"> (</w:t>
      </w:r>
      <w:r w:rsidR="00C953F9">
        <w:rPr>
          <w:sz w:val="24"/>
          <w:szCs w:val="24"/>
        </w:rPr>
        <w:t>35,367</w:t>
      </w:r>
      <w:r w:rsidR="003A7158">
        <w:rPr>
          <w:sz w:val="24"/>
          <w:szCs w:val="24"/>
        </w:rPr>
        <w:t xml:space="preserve"> </w:t>
      </w:r>
      <w:r w:rsidR="00784E1D">
        <w:rPr>
          <w:sz w:val="24"/>
          <w:szCs w:val="24"/>
        </w:rPr>
        <w:t>acres)</w:t>
      </w:r>
      <w:r>
        <w:rPr>
          <w:sz w:val="24"/>
          <w:szCs w:val="24"/>
        </w:rPr>
        <w:t xml:space="preserve"> </w:t>
      </w:r>
      <w:r w:rsidR="00EF5CC9">
        <w:rPr>
          <w:sz w:val="24"/>
          <w:szCs w:val="24"/>
        </w:rPr>
        <w:t>is within</w:t>
      </w:r>
      <w:r>
        <w:rPr>
          <w:sz w:val="24"/>
          <w:szCs w:val="24"/>
        </w:rPr>
        <w:t xml:space="preserve"> inventoried roadless areas. The project area is to the north and south of the Highway 88 corridor within three </w:t>
      </w:r>
      <w:r w:rsidR="003E545E">
        <w:rPr>
          <w:sz w:val="24"/>
          <w:szCs w:val="24"/>
        </w:rPr>
        <w:t xml:space="preserve">HUC-8 </w:t>
      </w:r>
      <w:r>
        <w:rPr>
          <w:sz w:val="24"/>
          <w:szCs w:val="24"/>
        </w:rPr>
        <w:t xml:space="preserve">watersheds (Upper Mokelumne </w:t>
      </w:r>
      <w:r w:rsidR="003E545E">
        <w:rPr>
          <w:sz w:val="24"/>
          <w:szCs w:val="24"/>
        </w:rPr>
        <w:t xml:space="preserve">- </w:t>
      </w:r>
      <w:r w:rsidR="000C462C">
        <w:rPr>
          <w:sz w:val="24"/>
          <w:szCs w:val="24"/>
        </w:rPr>
        <w:t>44</w:t>
      </w:r>
      <w:r>
        <w:rPr>
          <w:sz w:val="24"/>
          <w:szCs w:val="24"/>
        </w:rPr>
        <w:t xml:space="preserve">% of project area, Upper Consumnes </w:t>
      </w:r>
      <w:r w:rsidR="003E545E">
        <w:rPr>
          <w:sz w:val="24"/>
          <w:szCs w:val="24"/>
        </w:rPr>
        <w:t xml:space="preserve">- </w:t>
      </w:r>
      <w:r w:rsidR="004E0E19">
        <w:rPr>
          <w:sz w:val="24"/>
          <w:szCs w:val="24"/>
        </w:rPr>
        <w:t>28</w:t>
      </w:r>
      <w:r>
        <w:rPr>
          <w:sz w:val="24"/>
          <w:szCs w:val="24"/>
        </w:rPr>
        <w:t xml:space="preserve">%, and the Upper </w:t>
      </w:r>
      <w:r w:rsidR="00EF5CC9">
        <w:rPr>
          <w:sz w:val="24"/>
          <w:szCs w:val="24"/>
        </w:rPr>
        <w:t>South Fork</w:t>
      </w:r>
      <w:r>
        <w:rPr>
          <w:sz w:val="24"/>
          <w:szCs w:val="24"/>
        </w:rPr>
        <w:t xml:space="preserve"> American River watershed </w:t>
      </w:r>
      <w:r w:rsidR="003E545E">
        <w:rPr>
          <w:sz w:val="24"/>
          <w:szCs w:val="24"/>
        </w:rPr>
        <w:t xml:space="preserve">- </w:t>
      </w:r>
      <w:r w:rsidR="007A0EED">
        <w:rPr>
          <w:sz w:val="24"/>
          <w:szCs w:val="24"/>
        </w:rPr>
        <w:t>28</w:t>
      </w:r>
      <w:r>
        <w:rPr>
          <w:sz w:val="24"/>
          <w:szCs w:val="24"/>
        </w:rPr>
        <w:t xml:space="preserve">%), and </w:t>
      </w:r>
      <w:r w:rsidR="00AC09DD">
        <w:rPr>
          <w:sz w:val="24"/>
          <w:szCs w:val="24"/>
        </w:rPr>
        <w:t>four</w:t>
      </w:r>
      <w:r>
        <w:rPr>
          <w:sz w:val="24"/>
          <w:szCs w:val="24"/>
        </w:rPr>
        <w:t xml:space="preserve"> counties</w:t>
      </w:r>
      <w:r w:rsidR="003E545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Amador </w:t>
      </w:r>
      <w:r w:rsidR="003E545E">
        <w:rPr>
          <w:sz w:val="24"/>
          <w:szCs w:val="24"/>
        </w:rPr>
        <w:t xml:space="preserve">Co. - </w:t>
      </w:r>
      <w:r w:rsidR="00286122">
        <w:rPr>
          <w:sz w:val="24"/>
          <w:szCs w:val="24"/>
        </w:rPr>
        <w:t>47</w:t>
      </w:r>
      <w:r>
        <w:rPr>
          <w:sz w:val="24"/>
          <w:szCs w:val="24"/>
        </w:rPr>
        <w:t xml:space="preserve">% of project area, El Dorado </w:t>
      </w:r>
      <w:r w:rsidR="003E545E">
        <w:rPr>
          <w:sz w:val="24"/>
          <w:szCs w:val="24"/>
        </w:rPr>
        <w:t xml:space="preserve">Co. - </w:t>
      </w:r>
      <w:r w:rsidR="00286122">
        <w:rPr>
          <w:sz w:val="24"/>
          <w:szCs w:val="24"/>
        </w:rPr>
        <w:t>40</w:t>
      </w:r>
      <w:r>
        <w:rPr>
          <w:sz w:val="24"/>
          <w:szCs w:val="24"/>
        </w:rPr>
        <w:t>%</w:t>
      </w:r>
      <w:r w:rsidR="003E545E">
        <w:rPr>
          <w:sz w:val="24"/>
          <w:szCs w:val="24"/>
        </w:rPr>
        <w:t>,</w:t>
      </w:r>
      <w:r>
        <w:rPr>
          <w:sz w:val="24"/>
          <w:szCs w:val="24"/>
        </w:rPr>
        <w:t xml:space="preserve"> Alpine </w:t>
      </w:r>
      <w:r w:rsidR="003E545E">
        <w:rPr>
          <w:sz w:val="24"/>
          <w:szCs w:val="24"/>
        </w:rPr>
        <w:t>Co. -</w:t>
      </w:r>
      <w:r>
        <w:rPr>
          <w:sz w:val="24"/>
          <w:szCs w:val="24"/>
        </w:rPr>
        <w:t xml:space="preserve"> </w:t>
      </w:r>
      <w:r w:rsidR="00A13ECB">
        <w:rPr>
          <w:sz w:val="24"/>
          <w:szCs w:val="24"/>
        </w:rPr>
        <w:t>13</w:t>
      </w:r>
      <w:r>
        <w:rPr>
          <w:sz w:val="24"/>
          <w:szCs w:val="24"/>
        </w:rPr>
        <w:t>%</w:t>
      </w:r>
      <w:r w:rsidR="00286122">
        <w:rPr>
          <w:sz w:val="24"/>
          <w:szCs w:val="24"/>
        </w:rPr>
        <w:t>, and Calaveras Co. - &lt; 1%</w:t>
      </w:r>
      <w:r>
        <w:rPr>
          <w:sz w:val="24"/>
          <w:szCs w:val="24"/>
        </w:rPr>
        <w:t xml:space="preserve">). </w:t>
      </w:r>
      <w:r w:rsidR="003F4FE9">
        <w:rPr>
          <w:sz w:val="24"/>
          <w:szCs w:val="24"/>
        </w:rPr>
        <w:t xml:space="preserve">Approximately 13% of the proposed project area is within the 2021 Caldor Fire footprint. </w:t>
      </w:r>
      <w:r w:rsidR="00924501">
        <w:rPr>
          <w:sz w:val="24"/>
          <w:szCs w:val="24"/>
        </w:rPr>
        <w:t xml:space="preserve">The project </w:t>
      </w:r>
      <w:r w:rsidR="004E0E19">
        <w:rPr>
          <w:sz w:val="24"/>
          <w:szCs w:val="24"/>
        </w:rPr>
        <w:t xml:space="preserve">area </w:t>
      </w:r>
      <w:r w:rsidR="00924501">
        <w:rPr>
          <w:sz w:val="24"/>
          <w:szCs w:val="24"/>
        </w:rPr>
        <w:t xml:space="preserve">is </w:t>
      </w:r>
      <w:r w:rsidR="004E0E19">
        <w:rPr>
          <w:sz w:val="24"/>
          <w:szCs w:val="24"/>
        </w:rPr>
        <w:t xml:space="preserve">proposed </w:t>
      </w:r>
      <w:r w:rsidR="00924501">
        <w:rPr>
          <w:sz w:val="24"/>
          <w:szCs w:val="24"/>
        </w:rPr>
        <w:t xml:space="preserve">outside of several recent planning </w:t>
      </w:r>
      <w:r w:rsidR="00D26294">
        <w:rPr>
          <w:sz w:val="24"/>
          <w:szCs w:val="24"/>
        </w:rPr>
        <w:t>projects</w:t>
      </w:r>
      <w:r w:rsidR="00924501">
        <w:rPr>
          <w:sz w:val="24"/>
          <w:szCs w:val="24"/>
        </w:rPr>
        <w:t xml:space="preserve"> </w:t>
      </w:r>
      <w:r w:rsidR="003F4FE9">
        <w:rPr>
          <w:sz w:val="24"/>
          <w:szCs w:val="24"/>
        </w:rPr>
        <w:t xml:space="preserve">- </w:t>
      </w:r>
      <w:r w:rsidR="00924501" w:rsidRPr="00924501">
        <w:rPr>
          <w:sz w:val="24"/>
          <w:szCs w:val="24"/>
        </w:rPr>
        <w:t>Scottiago Fuels Reduction Project, Scottiago Forest Health Project, Panther Fuels Reduction Project, and</w:t>
      </w:r>
      <w:r w:rsidR="00A13ECB">
        <w:rPr>
          <w:sz w:val="24"/>
          <w:szCs w:val="24"/>
        </w:rPr>
        <w:t xml:space="preserve"> the</w:t>
      </w:r>
      <w:r w:rsidR="00924501" w:rsidRPr="00924501">
        <w:rPr>
          <w:sz w:val="24"/>
          <w:szCs w:val="24"/>
        </w:rPr>
        <w:t xml:space="preserve"> Power Fire Pre-</w:t>
      </w:r>
      <w:r w:rsidR="00924501" w:rsidRPr="00924501">
        <w:rPr>
          <w:sz w:val="24"/>
          <w:szCs w:val="24"/>
        </w:rPr>
        <w:lastRenderedPageBreak/>
        <w:t>Commercial Thin</w:t>
      </w:r>
      <w:r w:rsidR="00924501">
        <w:rPr>
          <w:sz w:val="24"/>
          <w:szCs w:val="24"/>
        </w:rPr>
        <w:t xml:space="preserve"> (PCT)</w:t>
      </w:r>
      <w:r w:rsidR="00A13ECB">
        <w:rPr>
          <w:sz w:val="24"/>
          <w:szCs w:val="24"/>
        </w:rPr>
        <w:t xml:space="preserve"> Project</w:t>
      </w:r>
      <w:r w:rsidR="00924501">
        <w:rPr>
          <w:sz w:val="24"/>
          <w:szCs w:val="24"/>
        </w:rPr>
        <w:t xml:space="preserve">, </w:t>
      </w:r>
      <w:r w:rsidR="00924501" w:rsidRPr="00924501">
        <w:rPr>
          <w:sz w:val="24"/>
          <w:szCs w:val="24"/>
        </w:rPr>
        <w:t>with the exception of the areas in the PCT that overlap the Power Fire Fuels Study Phase 2 prescribed burn units.</w:t>
      </w:r>
      <w:r w:rsidR="0075783A">
        <w:rPr>
          <w:sz w:val="24"/>
          <w:szCs w:val="24"/>
        </w:rPr>
        <w:t xml:space="preserve"> </w:t>
      </w:r>
    </w:p>
    <w:p w14:paraId="2745C36B" w14:textId="083FBCE8" w:rsidR="0081358F" w:rsidRDefault="00D26294" w:rsidP="00261F68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Sixty percent of the proposed project area is within the WUI, including the WUI defense zone (20% of the project area) and threat zone (40%). </w:t>
      </w:r>
      <w:r w:rsidR="00770976">
        <w:rPr>
          <w:sz w:val="24"/>
          <w:szCs w:val="24"/>
        </w:rPr>
        <w:t xml:space="preserve">The proposed project area </w:t>
      </w:r>
      <w:r w:rsidR="00AC09DD">
        <w:rPr>
          <w:sz w:val="24"/>
          <w:szCs w:val="24"/>
        </w:rPr>
        <w:t xml:space="preserve">encompasses one census populated area (Kirkwood) and </w:t>
      </w:r>
      <w:r w:rsidR="00261F68">
        <w:rPr>
          <w:sz w:val="24"/>
          <w:szCs w:val="24"/>
        </w:rPr>
        <w:t xml:space="preserve">is within </w:t>
      </w:r>
      <w:r w:rsidR="00200DC6">
        <w:rPr>
          <w:sz w:val="24"/>
          <w:szCs w:val="24"/>
        </w:rPr>
        <w:t>five</w:t>
      </w:r>
      <w:r w:rsidR="00261F68">
        <w:rPr>
          <w:sz w:val="24"/>
          <w:szCs w:val="24"/>
        </w:rPr>
        <w:t xml:space="preserve"> miles of</w:t>
      </w:r>
      <w:r w:rsidR="00AC09DD">
        <w:rPr>
          <w:sz w:val="24"/>
          <w:szCs w:val="24"/>
        </w:rPr>
        <w:t xml:space="preserve"> </w:t>
      </w:r>
      <w:r w:rsidR="00200DC6">
        <w:rPr>
          <w:sz w:val="24"/>
          <w:szCs w:val="24"/>
        </w:rPr>
        <w:t>six</w:t>
      </w:r>
      <w:r w:rsidR="0081358F">
        <w:rPr>
          <w:sz w:val="24"/>
          <w:szCs w:val="24"/>
        </w:rPr>
        <w:t xml:space="preserve"> other</w:t>
      </w:r>
      <w:r w:rsidR="00261F68">
        <w:rPr>
          <w:sz w:val="24"/>
          <w:szCs w:val="24"/>
        </w:rPr>
        <w:t xml:space="preserve"> census populated areas (i.e., Grizzly Flats, Buckhorn, Pioneer,</w:t>
      </w:r>
      <w:r w:rsidR="00200DC6">
        <w:rPr>
          <w:sz w:val="24"/>
          <w:szCs w:val="24"/>
        </w:rPr>
        <w:t xml:space="preserve"> Red Corral,</w:t>
      </w:r>
      <w:r w:rsidR="00261F68">
        <w:rPr>
          <w:sz w:val="24"/>
          <w:szCs w:val="24"/>
        </w:rPr>
        <w:t xml:space="preserve"> West Point, and Markleeville)</w:t>
      </w:r>
      <w:r w:rsidR="001C0243">
        <w:rPr>
          <w:sz w:val="24"/>
          <w:szCs w:val="24"/>
        </w:rPr>
        <w:t xml:space="preserve">. </w:t>
      </w:r>
    </w:p>
    <w:p w14:paraId="73CD4656" w14:textId="3C7A7497" w:rsidR="00ED75D5" w:rsidRDefault="00330222" w:rsidP="006F2B46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The dominant forest types within </w:t>
      </w:r>
      <w:r w:rsidR="00037D93">
        <w:rPr>
          <w:sz w:val="24"/>
          <w:szCs w:val="24"/>
        </w:rPr>
        <w:t>the</w:t>
      </w:r>
      <w:r w:rsidR="006F2B46">
        <w:rPr>
          <w:sz w:val="24"/>
          <w:szCs w:val="24"/>
        </w:rPr>
        <w:t xml:space="preserve"> proposed project </w:t>
      </w:r>
      <w:r w:rsidR="00037D93">
        <w:rPr>
          <w:sz w:val="24"/>
          <w:szCs w:val="24"/>
        </w:rPr>
        <w:t>landscape</w:t>
      </w:r>
      <w:r w:rsidR="006F2B46">
        <w:rPr>
          <w:sz w:val="24"/>
          <w:szCs w:val="24"/>
        </w:rPr>
        <w:t xml:space="preserve"> </w:t>
      </w:r>
      <w:proofErr w:type="gramStart"/>
      <w:r w:rsidR="006F2B46">
        <w:rPr>
          <w:sz w:val="24"/>
          <w:szCs w:val="24"/>
        </w:rPr>
        <w:t>is</w:t>
      </w:r>
      <w:proofErr w:type="gramEnd"/>
      <w:r w:rsidR="006F2B46">
        <w:rPr>
          <w:sz w:val="24"/>
          <w:szCs w:val="24"/>
        </w:rPr>
        <w:t xml:space="preserve"> </w:t>
      </w:r>
      <w:r w:rsidR="00037D93" w:rsidRPr="00037D93">
        <w:rPr>
          <w:sz w:val="24"/>
          <w:szCs w:val="24"/>
        </w:rPr>
        <w:t>Sierra</w:t>
      </w:r>
      <w:r w:rsidR="00614B5F">
        <w:rPr>
          <w:sz w:val="24"/>
          <w:szCs w:val="24"/>
        </w:rPr>
        <w:t>n</w:t>
      </w:r>
      <w:r w:rsidR="00037D93" w:rsidRPr="00037D93">
        <w:rPr>
          <w:sz w:val="24"/>
          <w:szCs w:val="24"/>
        </w:rPr>
        <w:t xml:space="preserve"> mixed conifer (26%)</w:t>
      </w:r>
      <w:r>
        <w:rPr>
          <w:sz w:val="24"/>
          <w:szCs w:val="24"/>
        </w:rPr>
        <w:t xml:space="preserve">, </w:t>
      </w:r>
      <w:r w:rsidR="00D26294">
        <w:rPr>
          <w:sz w:val="24"/>
          <w:szCs w:val="24"/>
        </w:rPr>
        <w:t xml:space="preserve">predominately </w:t>
      </w:r>
      <w:r w:rsidR="00037D93">
        <w:rPr>
          <w:sz w:val="24"/>
          <w:szCs w:val="24"/>
        </w:rPr>
        <w:t>in the lower elevations (&lt; 7,000 ft)</w:t>
      </w:r>
      <w:r w:rsidR="00D26294">
        <w:rPr>
          <w:sz w:val="24"/>
          <w:szCs w:val="24"/>
        </w:rPr>
        <w:t>,</w:t>
      </w:r>
      <w:r w:rsidR="00037D93">
        <w:rPr>
          <w:sz w:val="24"/>
          <w:szCs w:val="24"/>
        </w:rPr>
        <w:t xml:space="preserve"> and </w:t>
      </w:r>
      <w:r w:rsidR="00614B5F">
        <w:rPr>
          <w:sz w:val="24"/>
          <w:szCs w:val="24"/>
        </w:rPr>
        <w:t>R</w:t>
      </w:r>
      <w:r w:rsidR="00785883" w:rsidRPr="00037D93">
        <w:rPr>
          <w:sz w:val="24"/>
          <w:szCs w:val="24"/>
        </w:rPr>
        <w:t>ed fir</w:t>
      </w:r>
      <w:r w:rsidR="00037D93" w:rsidRPr="00037D93">
        <w:rPr>
          <w:sz w:val="24"/>
          <w:szCs w:val="24"/>
        </w:rPr>
        <w:t xml:space="preserve"> (2</w:t>
      </w:r>
      <w:r w:rsidR="00037D93">
        <w:rPr>
          <w:sz w:val="24"/>
          <w:szCs w:val="24"/>
        </w:rPr>
        <w:t>9</w:t>
      </w:r>
      <w:r w:rsidR="00037D93" w:rsidRPr="00037D93">
        <w:rPr>
          <w:sz w:val="24"/>
          <w:szCs w:val="24"/>
        </w:rPr>
        <w:t>%)</w:t>
      </w:r>
      <w:r>
        <w:rPr>
          <w:sz w:val="24"/>
          <w:szCs w:val="24"/>
        </w:rPr>
        <w:t xml:space="preserve">, predominantly </w:t>
      </w:r>
      <w:r w:rsidR="00037D93" w:rsidRPr="00037D93">
        <w:rPr>
          <w:sz w:val="24"/>
          <w:szCs w:val="24"/>
        </w:rPr>
        <w:t>in the higher elevations (&gt; 6,000 ft</w:t>
      </w:r>
      <w:r w:rsidR="00037D93">
        <w:rPr>
          <w:sz w:val="24"/>
          <w:szCs w:val="24"/>
        </w:rPr>
        <w:t>).</w:t>
      </w:r>
      <w:r w:rsidR="00EF4801">
        <w:rPr>
          <w:sz w:val="24"/>
          <w:szCs w:val="24"/>
        </w:rPr>
        <w:t xml:space="preserve"> The dominant seral stage within the proposed project area is mid-seral closed (51%</w:t>
      </w:r>
      <w:r w:rsidR="00614B5F">
        <w:rPr>
          <w:sz w:val="24"/>
          <w:szCs w:val="24"/>
        </w:rPr>
        <w:t xml:space="preserve"> of the project area</w:t>
      </w:r>
      <w:r w:rsidR="00EF4801">
        <w:rPr>
          <w:sz w:val="24"/>
          <w:szCs w:val="24"/>
        </w:rPr>
        <w:t xml:space="preserve">), followed by late-seral closed (12%; see Table 1). </w:t>
      </w:r>
      <w:r w:rsidR="009B4CE6">
        <w:rPr>
          <w:sz w:val="24"/>
          <w:szCs w:val="24"/>
        </w:rPr>
        <w:t xml:space="preserve">Based on 2019 LiDAR returns, 56% of the proposed project area has </w:t>
      </w:r>
      <w:r w:rsidR="009B4CE6">
        <w:rPr>
          <w:rFonts w:cstheme="minorHAnsi"/>
          <w:sz w:val="24"/>
          <w:szCs w:val="24"/>
        </w:rPr>
        <w:t>≥</w:t>
      </w:r>
      <w:r w:rsidR="009B4CE6">
        <w:rPr>
          <w:sz w:val="24"/>
          <w:szCs w:val="24"/>
        </w:rPr>
        <w:t xml:space="preserve"> 50% canopy cover (ENF 2019 LiDAR).</w:t>
      </w:r>
    </w:p>
    <w:p w14:paraId="55CCDF89" w14:textId="47937477" w:rsidR="000C2783" w:rsidRDefault="006E0184" w:rsidP="006F2B46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>M</w:t>
      </w:r>
      <w:r w:rsidR="000C2783">
        <w:rPr>
          <w:sz w:val="24"/>
          <w:szCs w:val="24"/>
        </w:rPr>
        <w:t xml:space="preserve">ature wildlife </w:t>
      </w:r>
      <w:r>
        <w:rPr>
          <w:sz w:val="24"/>
          <w:szCs w:val="24"/>
        </w:rPr>
        <w:t xml:space="preserve">forest </w:t>
      </w:r>
      <w:r w:rsidR="000C2783">
        <w:rPr>
          <w:sz w:val="24"/>
          <w:szCs w:val="24"/>
        </w:rPr>
        <w:t xml:space="preserve">habitat </w:t>
      </w:r>
      <w:r>
        <w:rPr>
          <w:sz w:val="24"/>
          <w:szCs w:val="24"/>
        </w:rPr>
        <w:t>makes up 12% of the proposed project area</w:t>
      </w:r>
      <w:r w:rsidR="00D26294">
        <w:rPr>
          <w:sz w:val="24"/>
          <w:szCs w:val="24"/>
        </w:rPr>
        <w:t xml:space="preserve"> </w:t>
      </w:r>
      <w:r w:rsidR="0011693D">
        <w:rPr>
          <w:sz w:val="24"/>
          <w:szCs w:val="24"/>
        </w:rPr>
        <w:t>and</w:t>
      </w:r>
      <w:r w:rsidR="000C2783">
        <w:rPr>
          <w:sz w:val="24"/>
          <w:szCs w:val="24"/>
        </w:rPr>
        <w:t xml:space="preserve"> </w:t>
      </w:r>
      <w:r w:rsidR="00330222">
        <w:rPr>
          <w:sz w:val="24"/>
          <w:szCs w:val="24"/>
        </w:rPr>
        <w:t xml:space="preserve">immature wildlife forest habitat makes up </w:t>
      </w:r>
      <w:r w:rsidR="004E77F5">
        <w:rPr>
          <w:sz w:val="24"/>
          <w:szCs w:val="24"/>
        </w:rPr>
        <w:t>47</w:t>
      </w:r>
      <w:r>
        <w:rPr>
          <w:sz w:val="24"/>
          <w:szCs w:val="24"/>
        </w:rPr>
        <w:t>%</w:t>
      </w:r>
      <w:r w:rsidR="0011693D">
        <w:rPr>
          <w:sz w:val="24"/>
          <w:szCs w:val="24"/>
        </w:rPr>
        <w:t xml:space="preserve"> of the project area</w:t>
      </w:r>
      <w:r w:rsidR="00330222">
        <w:rPr>
          <w:sz w:val="24"/>
          <w:szCs w:val="24"/>
        </w:rPr>
        <w:t xml:space="preserve"> </w:t>
      </w:r>
      <w:r w:rsidR="00D26294">
        <w:rPr>
          <w:sz w:val="24"/>
          <w:szCs w:val="24"/>
        </w:rPr>
        <w:t>(see Table 1 for description of metrics)</w:t>
      </w:r>
      <w:r>
        <w:rPr>
          <w:sz w:val="24"/>
          <w:szCs w:val="24"/>
        </w:rPr>
        <w:t xml:space="preserve">. </w:t>
      </w:r>
      <w:r w:rsidR="0011693D">
        <w:rPr>
          <w:sz w:val="24"/>
          <w:szCs w:val="24"/>
        </w:rPr>
        <w:t>Additionally, the</w:t>
      </w:r>
      <w:r>
        <w:rPr>
          <w:sz w:val="24"/>
          <w:szCs w:val="24"/>
        </w:rPr>
        <w:t xml:space="preserve"> project area </w:t>
      </w:r>
      <w:r w:rsidR="000C2783">
        <w:rPr>
          <w:sz w:val="24"/>
          <w:szCs w:val="24"/>
        </w:rPr>
        <w:t xml:space="preserve">overlaps </w:t>
      </w:r>
      <w:r w:rsidR="00563A5B">
        <w:rPr>
          <w:sz w:val="24"/>
          <w:szCs w:val="24"/>
        </w:rPr>
        <w:t>76</w:t>
      </w:r>
      <w:r w:rsidR="000C2783">
        <w:rPr>
          <w:sz w:val="24"/>
          <w:szCs w:val="24"/>
        </w:rPr>
        <w:t xml:space="preserve"> </w:t>
      </w:r>
      <w:r w:rsidR="00B9591A">
        <w:rPr>
          <w:sz w:val="24"/>
          <w:szCs w:val="24"/>
        </w:rPr>
        <w:t xml:space="preserve">California spotted owl </w:t>
      </w:r>
      <w:r w:rsidR="00563A5B">
        <w:rPr>
          <w:sz w:val="24"/>
          <w:szCs w:val="24"/>
        </w:rPr>
        <w:t>and</w:t>
      </w:r>
      <w:r w:rsidR="00B9591A">
        <w:rPr>
          <w:sz w:val="24"/>
          <w:szCs w:val="24"/>
        </w:rPr>
        <w:t xml:space="preserve"> Northern goshawk </w:t>
      </w:r>
      <w:r w:rsidR="000C2783">
        <w:rPr>
          <w:sz w:val="24"/>
          <w:szCs w:val="24"/>
        </w:rPr>
        <w:t>PACs</w:t>
      </w:r>
      <w:r>
        <w:rPr>
          <w:sz w:val="24"/>
          <w:szCs w:val="24"/>
        </w:rPr>
        <w:t xml:space="preserve">, which equates to </w:t>
      </w:r>
      <w:r w:rsidR="003F4FE9">
        <w:rPr>
          <w:sz w:val="24"/>
          <w:szCs w:val="24"/>
        </w:rPr>
        <w:t xml:space="preserve">approximately </w:t>
      </w:r>
      <w:r w:rsidR="00130EB2">
        <w:rPr>
          <w:sz w:val="24"/>
          <w:szCs w:val="24"/>
        </w:rPr>
        <w:t>16</w:t>
      </w:r>
      <w:r w:rsidR="000C2783">
        <w:rPr>
          <w:sz w:val="24"/>
          <w:szCs w:val="24"/>
        </w:rPr>
        <w:t xml:space="preserve">% of </w:t>
      </w:r>
      <w:r w:rsidR="003F4FE9">
        <w:rPr>
          <w:sz w:val="24"/>
          <w:szCs w:val="24"/>
        </w:rPr>
        <w:t xml:space="preserve">the </w:t>
      </w:r>
      <w:r w:rsidR="000C2783">
        <w:rPr>
          <w:sz w:val="24"/>
          <w:szCs w:val="24"/>
        </w:rPr>
        <w:t>project area</w:t>
      </w:r>
      <w:r w:rsidR="00563A5B">
        <w:rPr>
          <w:sz w:val="24"/>
          <w:szCs w:val="24"/>
        </w:rPr>
        <w:t>. Fifty percent</w:t>
      </w:r>
      <w:r w:rsidR="000C2783">
        <w:rPr>
          <w:sz w:val="24"/>
          <w:szCs w:val="24"/>
        </w:rPr>
        <w:t xml:space="preserve"> of the project area </w:t>
      </w:r>
      <w:r>
        <w:rPr>
          <w:sz w:val="24"/>
          <w:szCs w:val="24"/>
        </w:rPr>
        <w:t>is within</w:t>
      </w:r>
      <w:r w:rsidR="000C2783">
        <w:rPr>
          <w:sz w:val="24"/>
          <w:szCs w:val="24"/>
        </w:rPr>
        <w:t xml:space="preserve"> </w:t>
      </w:r>
      <w:r w:rsidR="00293AF3">
        <w:rPr>
          <w:sz w:val="24"/>
          <w:szCs w:val="24"/>
        </w:rPr>
        <w:t>Sierra Nevada yellow-legged frog</w:t>
      </w:r>
      <w:r w:rsidR="000C2783">
        <w:rPr>
          <w:sz w:val="24"/>
          <w:szCs w:val="24"/>
        </w:rPr>
        <w:t xml:space="preserve"> critical habitat, </w:t>
      </w:r>
      <w:r w:rsidR="00130EB2">
        <w:rPr>
          <w:sz w:val="24"/>
          <w:szCs w:val="24"/>
        </w:rPr>
        <w:t>5</w:t>
      </w:r>
      <w:r w:rsidR="000C2783">
        <w:rPr>
          <w:sz w:val="24"/>
          <w:szCs w:val="24"/>
        </w:rPr>
        <w:t xml:space="preserve">% </w:t>
      </w:r>
      <w:r>
        <w:rPr>
          <w:sz w:val="24"/>
          <w:szCs w:val="24"/>
        </w:rPr>
        <w:t>within</w:t>
      </w:r>
      <w:r w:rsidR="00293AF3">
        <w:rPr>
          <w:sz w:val="24"/>
          <w:szCs w:val="24"/>
        </w:rPr>
        <w:t xml:space="preserve"> Yosemite toad</w:t>
      </w:r>
      <w:r w:rsidR="000C2783">
        <w:rPr>
          <w:sz w:val="24"/>
          <w:szCs w:val="24"/>
        </w:rPr>
        <w:t xml:space="preserve"> critical habitat, and </w:t>
      </w:r>
      <w:r w:rsidR="00130EB2">
        <w:rPr>
          <w:sz w:val="24"/>
          <w:szCs w:val="24"/>
        </w:rPr>
        <w:t>1</w:t>
      </w:r>
      <w:r w:rsidR="000C2783">
        <w:rPr>
          <w:sz w:val="24"/>
          <w:szCs w:val="24"/>
        </w:rPr>
        <w:t xml:space="preserve">% </w:t>
      </w:r>
      <w:r>
        <w:rPr>
          <w:sz w:val="24"/>
          <w:szCs w:val="24"/>
        </w:rPr>
        <w:t>within</w:t>
      </w:r>
      <w:r w:rsidR="00563A5B">
        <w:rPr>
          <w:sz w:val="24"/>
          <w:szCs w:val="24"/>
        </w:rPr>
        <w:t xml:space="preserve"> </w:t>
      </w:r>
      <w:r w:rsidR="000C2783">
        <w:rPr>
          <w:sz w:val="24"/>
          <w:szCs w:val="24"/>
        </w:rPr>
        <w:t xml:space="preserve">mapped suitable </w:t>
      </w:r>
      <w:r w:rsidR="00293AF3">
        <w:rPr>
          <w:sz w:val="24"/>
          <w:szCs w:val="24"/>
        </w:rPr>
        <w:t>foothill yellow-legged frog</w:t>
      </w:r>
      <w:r w:rsidR="000C2783">
        <w:rPr>
          <w:sz w:val="24"/>
          <w:szCs w:val="24"/>
        </w:rPr>
        <w:t xml:space="preserve"> habitat. </w:t>
      </w:r>
    </w:p>
    <w:p w14:paraId="2FA06ADA" w14:textId="5CC5AE40" w:rsidR="00CF4D17" w:rsidRDefault="0081358F" w:rsidP="006F2B46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Fourteen percent of the proposed project area falls within high-risk areas to high-valued resources and assets (HVRAs, ACCG 2020 wildfire risk assessment), and according </w:t>
      </w:r>
      <w:r w:rsidR="00005317">
        <w:rPr>
          <w:sz w:val="24"/>
          <w:szCs w:val="24"/>
        </w:rPr>
        <w:t xml:space="preserve">to a USFS R5 analysis, 11% of the project area has stand densities </w:t>
      </w:r>
      <w:r w:rsidR="00005317" w:rsidRPr="004E0067">
        <w:rPr>
          <w:sz w:val="24"/>
          <w:szCs w:val="24"/>
        </w:rPr>
        <w:t xml:space="preserve">considered to be at </w:t>
      </w:r>
      <w:r w:rsidR="00005317">
        <w:rPr>
          <w:sz w:val="24"/>
          <w:szCs w:val="24"/>
        </w:rPr>
        <w:t>high risk</w:t>
      </w:r>
      <w:r w:rsidR="00005317" w:rsidRPr="004E0067">
        <w:rPr>
          <w:sz w:val="24"/>
          <w:szCs w:val="24"/>
        </w:rPr>
        <w:t xml:space="preserve"> to mortality from drought, insects, disease, and wildfire </w:t>
      </w:r>
      <w:r w:rsidR="00005317">
        <w:rPr>
          <w:sz w:val="24"/>
          <w:szCs w:val="24"/>
        </w:rPr>
        <w:t>(USDA 2021(b); see Table 1). According to</w:t>
      </w:r>
      <w:r>
        <w:rPr>
          <w:sz w:val="24"/>
          <w:szCs w:val="24"/>
        </w:rPr>
        <w:t xml:space="preserve"> fire modeling</w:t>
      </w:r>
      <w:r w:rsidR="00005317">
        <w:rPr>
          <w:sz w:val="24"/>
          <w:szCs w:val="24"/>
        </w:rPr>
        <w:t xml:space="preserve"> inputs used in the ACCG 2020 wildfire risk assessment</w:t>
      </w:r>
      <w:r>
        <w:rPr>
          <w:sz w:val="24"/>
          <w:szCs w:val="24"/>
        </w:rPr>
        <w:t xml:space="preserve">, 6% </w:t>
      </w:r>
      <w:r w:rsidRPr="00611F08">
        <w:rPr>
          <w:sz w:val="24"/>
          <w:szCs w:val="24"/>
        </w:rPr>
        <w:t xml:space="preserve">of the </w:t>
      </w:r>
      <w:r w:rsidR="003F4FE9">
        <w:rPr>
          <w:sz w:val="24"/>
          <w:szCs w:val="24"/>
        </w:rPr>
        <w:t xml:space="preserve">total </w:t>
      </w:r>
      <w:r w:rsidRPr="00611F08">
        <w:rPr>
          <w:sz w:val="24"/>
          <w:szCs w:val="24"/>
        </w:rPr>
        <w:t>proposed project</w:t>
      </w:r>
      <w:r>
        <w:rPr>
          <w:sz w:val="24"/>
          <w:szCs w:val="24"/>
        </w:rPr>
        <w:t xml:space="preserve"> area</w:t>
      </w:r>
      <w:r w:rsidRPr="00611F08">
        <w:rPr>
          <w:sz w:val="24"/>
          <w:szCs w:val="24"/>
        </w:rPr>
        <w:t xml:space="preserve"> falls with</w:t>
      </w:r>
      <w:r w:rsidR="00783E97">
        <w:rPr>
          <w:sz w:val="24"/>
          <w:szCs w:val="24"/>
        </w:rPr>
        <w:t>in</w:t>
      </w:r>
      <w:r w:rsidRPr="00611F08">
        <w:rPr>
          <w:sz w:val="24"/>
          <w:szCs w:val="24"/>
        </w:rPr>
        <w:t xml:space="preserve"> areas predicted to have high</w:t>
      </w:r>
      <w:r w:rsidR="00783E97">
        <w:rPr>
          <w:sz w:val="24"/>
          <w:szCs w:val="24"/>
        </w:rPr>
        <w:t>-</w:t>
      </w:r>
      <w:r w:rsidRPr="00611F08">
        <w:rPr>
          <w:sz w:val="24"/>
          <w:szCs w:val="24"/>
        </w:rPr>
        <w:t xml:space="preserve">intensity wildfire </w:t>
      </w:r>
      <w:r>
        <w:rPr>
          <w:sz w:val="24"/>
          <w:szCs w:val="24"/>
        </w:rPr>
        <w:t>(</w:t>
      </w: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8 ft flame lengths with </w:t>
      </w:r>
      <w:r>
        <w:rPr>
          <w:rFonts w:cstheme="minorHAnsi"/>
          <w:sz w:val="24"/>
          <w:szCs w:val="24"/>
        </w:rPr>
        <w:t>≥ 75% burn probability</w:t>
      </w:r>
      <w:r>
        <w:rPr>
          <w:sz w:val="24"/>
          <w:szCs w:val="24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611F08">
        <w:rPr>
          <w:rFonts w:ascii="Calibri" w:eastAsia="Times New Roman" w:hAnsi="Calibri" w:cs="Calibri"/>
          <w:color w:val="000000"/>
          <w:sz w:val="24"/>
          <w:szCs w:val="24"/>
        </w:rPr>
        <w:t>ee Table 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 full description</w:t>
      </w:r>
      <w:r w:rsidRPr="00611F08">
        <w:rPr>
          <w:rFonts w:ascii="Calibri" w:eastAsia="Times New Roman" w:hAnsi="Calibri" w:cs="Calibri"/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CF4D17">
        <w:rPr>
          <w:sz w:val="24"/>
          <w:szCs w:val="24"/>
        </w:rPr>
        <w:t xml:space="preserve">See Table 1 for the full </w:t>
      </w:r>
      <w:r w:rsidR="00171A65">
        <w:rPr>
          <w:sz w:val="24"/>
          <w:szCs w:val="24"/>
        </w:rPr>
        <w:t xml:space="preserve">list of </w:t>
      </w:r>
      <w:r w:rsidR="00CF4D17">
        <w:rPr>
          <w:sz w:val="24"/>
          <w:szCs w:val="24"/>
        </w:rPr>
        <w:t xml:space="preserve">assessment </w:t>
      </w:r>
      <w:r w:rsidR="00171A65">
        <w:rPr>
          <w:sz w:val="24"/>
          <w:szCs w:val="24"/>
        </w:rPr>
        <w:t>metrics and acreage estimates.</w:t>
      </w:r>
    </w:p>
    <w:p w14:paraId="421B1E8F" w14:textId="4EC82B62" w:rsidR="008269E1" w:rsidRPr="008269E1" w:rsidRDefault="008269E1" w:rsidP="00293AF3">
      <w:pPr>
        <w:pStyle w:val="NoSpacing"/>
        <w:spacing w:before="360" w:after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Identification of Priority </w:t>
      </w:r>
      <w:r w:rsidR="00C83DD4">
        <w:rPr>
          <w:b/>
          <w:bCs/>
          <w:i/>
          <w:iCs/>
          <w:sz w:val="24"/>
          <w:szCs w:val="24"/>
        </w:rPr>
        <w:t xml:space="preserve">Areas for </w:t>
      </w:r>
      <w:r>
        <w:rPr>
          <w:b/>
          <w:bCs/>
          <w:i/>
          <w:iCs/>
          <w:sz w:val="24"/>
          <w:szCs w:val="24"/>
        </w:rPr>
        <w:t>Mechanical Fuels Reduction Treatment</w:t>
      </w:r>
      <w:r w:rsidR="00C83DD4">
        <w:rPr>
          <w:b/>
          <w:bCs/>
          <w:i/>
          <w:iCs/>
          <w:sz w:val="24"/>
          <w:szCs w:val="24"/>
        </w:rPr>
        <w:t>s</w:t>
      </w:r>
    </w:p>
    <w:p w14:paraId="2EC02196" w14:textId="3815A573" w:rsidR="000C2783" w:rsidRPr="00A8004F" w:rsidRDefault="00200DC6" w:rsidP="006F2B46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>Several landscape condition metrics were used to identify high</w:t>
      </w:r>
      <w:r w:rsidR="004152BE">
        <w:rPr>
          <w:sz w:val="24"/>
          <w:szCs w:val="24"/>
        </w:rPr>
        <w:t>est</w:t>
      </w:r>
      <w:r>
        <w:rPr>
          <w:sz w:val="24"/>
          <w:szCs w:val="24"/>
        </w:rPr>
        <w:t xml:space="preserve"> priority areas for </w:t>
      </w:r>
      <w:r w:rsidR="00781C25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mechanical fuels reduction </w:t>
      </w:r>
      <w:r w:rsidR="004152BE">
        <w:rPr>
          <w:sz w:val="24"/>
          <w:szCs w:val="24"/>
        </w:rPr>
        <w:t xml:space="preserve">treatments </w:t>
      </w:r>
      <w:r w:rsidR="00C2354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3545">
        <w:rPr>
          <w:sz w:val="24"/>
          <w:szCs w:val="24"/>
        </w:rPr>
        <w:t>high-</w:t>
      </w:r>
      <w:r>
        <w:rPr>
          <w:sz w:val="24"/>
          <w:szCs w:val="24"/>
        </w:rPr>
        <w:t>risk WUI</w:t>
      </w:r>
      <w:r w:rsidR="00C23545">
        <w:rPr>
          <w:sz w:val="24"/>
          <w:szCs w:val="24"/>
        </w:rPr>
        <w:t xml:space="preserve">, </w:t>
      </w:r>
      <w:r>
        <w:rPr>
          <w:sz w:val="24"/>
          <w:szCs w:val="24"/>
        </w:rPr>
        <w:t>high</w:t>
      </w:r>
      <w:r w:rsidR="0081358F">
        <w:rPr>
          <w:sz w:val="24"/>
          <w:szCs w:val="24"/>
        </w:rPr>
        <w:t xml:space="preserve">-risk </w:t>
      </w:r>
      <w:r>
        <w:rPr>
          <w:sz w:val="24"/>
          <w:szCs w:val="24"/>
        </w:rPr>
        <w:t xml:space="preserve">HVRAs, </w:t>
      </w:r>
      <w:r w:rsidR="00C23545">
        <w:rPr>
          <w:sz w:val="24"/>
          <w:szCs w:val="24"/>
        </w:rPr>
        <w:t xml:space="preserve">high-intensity fire, </w:t>
      </w:r>
      <w:r w:rsidR="00783E97">
        <w:rPr>
          <w:sz w:val="24"/>
          <w:szCs w:val="24"/>
        </w:rPr>
        <w:t>high canopy cover</w:t>
      </w:r>
      <w:r w:rsidR="005332FD">
        <w:rPr>
          <w:sz w:val="24"/>
          <w:szCs w:val="24"/>
        </w:rPr>
        <w:t xml:space="preserve"> and </w:t>
      </w:r>
      <w:r w:rsidR="00146705">
        <w:rPr>
          <w:sz w:val="24"/>
          <w:szCs w:val="24"/>
        </w:rPr>
        <w:t>high</w:t>
      </w:r>
      <w:r w:rsidR="00C23545">
        <w:rPr>
          <w:sz w:val="24"/>
          <w:szCs w:val="24"/>
        </w:rPr>
        <w:t xml:space="preserve"> </w:t>
      </w:r>
      <w:r w:rsidR="00146705">
        <w:rPr>
          <w:sz w:val="24"/>
          <w:szCs w:val="24"/>
        </w:rPr>
        <w:t>stand densities</w:t>
      </w:r>
      <w:r w:rsidR="002C205E">
        <w:rPr>
          <w:sz w:val="24"/>
          <w:szCs w:val="24"/>
        </w:rPr>
        <w:t xml:space="preserve"> </w:t>
      </w:r>
      <w:r w:rsidR="00C23545">
        <w:rPr>
          <w:sz w:val="24"/>
          <w:szCs w:val="24"/>
        </w:rPr>
        <w:t>(</w:t>
      </w:r>
      <w:r>
        <w:rPr>
          <w:sz w:val="24"/>
          <w:szCs w:val="24"/>
        </w:rPr>
        <w:t xml:space="preserve">see Table 1 for full description of metrics). </w:t>
      </w:r>
      <w:r w:rsidR="008269E1">
        <w:rPr>
          <w:sz w:val="24"/>
          <w:szCs w:val="24"/>
        </w:rPr>
        <w:t>The</w:t>
      </w:r>
      <w:r w:rsidR="0011693D">
        <w:rPr>
          <w:sz w:val="24"/>
          <w:szCs w:val="24"/>
        </w:rPr>
        <w:t xml:space="preserve">se metrics were assessed within </w:t>
      </w:r>
      <w:r w:rsidR="008269E1">
        <w:rPr>
          <w:sz w:val="24"/>
          <w:szCs w:val="24"/>
        </w:rPr>
        <w:t>landscape management unit</w:t>
      </w:r>
      <w:r w:rsidR="00146705">
        <w:rPr>
          <w:sz w:val="24"/>
          <w:szCs w:val="24"/>
        </w:rPr>
        <w:t>s</w:t>
      </w:r>
      <w:r w:rsidR="008269E1">
        <w:rPr>
          <w:sz w:val="24"/>
          <w:szCs w:val="24"/>
        </w:rPr>
        <w:t xml:space="preserve"> (LMU</w:t>
      </w:r>
      <w:r w:rsidR="00E47CB1">
        <w:rPr>
          <w:sz w:val="24"/>
          <w:szCs w:val="24"/>
        </w:rPr>
        <w:t>s)</w:t>
      </w:r>
      <w:r w:rsidR="00783E97">
        <w:rPr>
          <w:sz w:val="24"/>
          <w:szCs w:val="24"/>
        </w:rPr>
        <w:t xml:space="preserve">, which </w:t>
      </w:r>
      <w:r w:rsidR="005332FD">
        <w:rPr>
          <w:sz w:val="24"/>
          <w:szCs w:val="24"/>
        </w:rPr>
        <w:t>characterizes a given</w:t>
      </w:r>
      <w:r w:rsidR="00783E97">
        <w:rPr>
          <w:sz w:val="24"/>
          <w:szCs w:val="24"/>
        </w:rPr>
        <w:t xml:space="preserve"> landscape </w:t>
      </w:r>
      <w:r w:rsidR="00E47CB1">
        <w:rPr>
          <w:sz w:val="24"/>
          <w:szCs w:val="24"/>
        </w:rPr>
        <w:t>into simple topographical categories – ridges, slopes and canyon/drainage bottom (North et al. 2012).</w:t>
      </w:r>
      <w:r w:rsidR="008269E1">
        <w:rPr>
          <w:sz w:val="24"/>
          <w:szCs w:val="24"/>
        </w:rPr>
        <w:t xml:space="preserve"> LMUs were further delineated by ENF’s potential operational delineations (PODs, see in Thompson et al. 2016)</w:t>
      </w:r>
      <w:r w:rsidR="00330222">
        <w:rPr>
          <w:sz w:val="24"/>
          <w:szCs w:val="24"/>
        </w:rPr>
        <w:t xml:space="preserve">, </w:t>
      </w:r>
      <w:r w:rsidR="008269E1">
        <w:rPr>
          <w:sz w:val="24"/>
          <w:szCs w:val="24"/>
        </w:rPr>
        <w:t>PACs</w:t>
      </w:r>
      <w:r w:rsidR="00330222">
        <w:rPr>
          <w:sz w:val="24"/>
          <w:szCs w:val="24"/>
        </w:rPr>
        <w:t xml:space="preserve">, and finally, clipped to only include LMUs </w:t>
      </w:r>
      <w:r w:rsidR="005332FD">
        <w:rPr>
          <w:sz w:val="24"/>
          <w:szCs w:val="24"/>
        </w:rPr>
        <w:t>within the WUI</w:t>
      </w:r>
      <w:r w:rsidR="009F68D9">
        <w:rPr>
          <w:sz w:val="24"/>
          <w:szCs w:val="24"/>
        </w:rPr>
        <w:t xml:space="preserve"> </w:t>
      </w:r>
      <w:r w:rsidR="005332FD">
        <w:rPr>
          <w:sz w:val="24"/>
          <w:szCs w:val="24"/>
        </w:rPr>
        <w:t xml:space="preserve">– this is due to the fact that anticipated capacity to accomplish this magnitude of work warrants the need to limit the scope of proposed mechanical fuels reduction areas. </w:t>
      </w:r>
      <w:r w:rsidR="00330222">
        <w:rPr>
          <w:sz w:val="24"/>
          <w:szCs w:val="24"/>
        </w:rPr>
        <w:t>S</w:t>
      </w:r>
      <w:r w:rsidR="00BA016C">
        <w:rPr>
          <w:sz w:val="24"/>
          <w:szCs w:val="24"/>
        </w:rPr>
        <w:t xml:space="preserve">everal landscape conditions were </w:t>
      </w:r>
      <w:r w:rsidR="00400E89">
        <w:rPr>
          <w:sz w:val="24"/>
          <w:szCs w:val="24"/>
        </w:rPr>
        <w:t>identified</w:t>
      </w:r>
      <w:r w:rsidR="00BA016C">
        <w:rPr>
          <w:sz w:val="24"/>
          <w:szCs w:val="24"/>
        </w:rPr>
        <w:t xml:space="preserve"> as areas </w:t>
      </w:r>
      <w:r w:rsidR="00BA016C" w:rsidRPr="00330222">
        <w:rPr>
          <w:i/>
          <w:iCs/>
          <w:sz w:val="24"/>
          <w:szCs w:val="24"/>
        </w:rPr>
        <w:t>not</w:t>
      </w:r>
      <w:r w:rsidR="00BA016C">
        <w:rPr>
          <w:sz w:val="24"/>
          <w:szCs w:val="24"/>
        </w:rPr>
        <w:t xml:space="preserve"> suitable for mechanical fuels reduction treatments</w:t>
      </w:r>
      <w:r w:rsidR="00400E89">
        <w:rPr>
          <w:sz w:val="24"/>
          <w:szCs w:val="24"/>
        </w:rPr>
        <w:t xml:space="preserve"> </w:t>
      </w:r>
      <w:r w:rsidR="00BA016C">
        <w:rPr>
          <w:sz w:val="24"/>
          <w:szCs w:val="24"/>
        </w:rPr>
        <w:t xml:space="preserve">– slopes </w:t>
      </w:r>
      <w:r w:rsidR="00400E89">
        <w:rPr>
          <w:rFonts w:cstheme="minorHAnsi"/>
          <w:sz w:val="24"/>
          <w:szCs w:val="24"/>
        </w:rPr>
        <w:t xml:space="preserve">&gt; </w:t>
      </w:r>
      <w:r w:rsidR="00BA016C">
        <w:rPr>
          <w:sz w:val="24"/>
          <w:szCs w:val="24"/>
        </w:rPr>
        <w:t xml:space="preserve">40%, </w:t>
      </w:r>
      <w:r w:rsidR="00400E89">
        <w:rPr>
          <w:sz w:val="24"/>
          <w:szCs w:val="24"/>
        </w:rPr>
        <w:t xml:space="preserve">areas &gt; </w:t>
      </w:r>
      <w:r w:rsidR="00BA016C">
        <w:rPr>
          <w:sz w:val="24"/>
          <w:szCs w:val="24"/>
        </w:rPr>
        <w:t xml:space="preserve">0.25 miles </w:t>
      </w:r>
      <w:r w:rsidR="00400E89">
        <w:rPr>
          <w:sz w:val="24"/>
          <w:szCs w:val="24"/>
        </w:rPr>
        <w:t>from</w:t>
      </w:r>
      <w:r w:rsidR="00BA016C">
        <w:rPr>
          <w:sz w:val="24"/>
          <w:szCs w:val="24"/>
        </w:rPr>
        <w:t xml:space="preserve"> a road centerline, </w:t>
      </w:r>
      <w:r w:rsidR="00127FDD">
        <w:rPr>
          <w:sz w:val="24"/>
          <w:szCs w:val="24"/>
        </w:rPr>
        <w:t xml:space="preserve">and </w:t>
      </w:r>
      <w:r w:rsidR="00BA016C">
        <w:rPr>
          <w:sz w:val="24"/>
          <w:szCs w:val="24"/>
        </w:rPr>
        <w:t xml:space="preserve">PACs outside </w:t>
      </w:r>
      <w:r w:rsidR="00400E89">
        <w:rPr>
          <w:sz w:val="24"/>
          <w:szCs w:val="24"/>
        </w:rPr>
        <w:t xml:space="preserve">of the </w:t>
      </w:r>
      <w:r w:rsidR="00BA016C">
        <w:rPr>
          <w:sz w:val="24"/>
          <w:szCs w:val="24"/>
        </w:rPr>
        <w:t xml:space="preserve">WUI. </w:t>
      </w:r>
      <w:r w:rsidR="00F750FE">
        <w:rPr>
          <w:sz w:val="24"/>
          <w:szCs w:val="24"/>
        </w:rPr>
        <w:t>(</w:t>
      </w:r>
      <w:r w:rsidR="00946286" w:rsidRPr="00A8004F">
        <w:rPr>
          <w:sz w:val="24"/>
          <w:szCs w:val="24"/>
        </w:rPr>
        <w:t xml:space="preserve">Note: </w:t>
      </w:r>
      <w:r w:rsidR="00127FDD" w:rsidRPr="00A8004F">
        <w:rPr>
          <w:sz w:val="24"/>
          <w:szCs w:val="24"/>
        </w:rPr>
        <w:t>F</w:t>
      </w:r>
      <w:r w:rsidR="00BA016C" w:rsidRPr="00A8004F">
        <w:rPr>
          <w:sz w:val="24"/>
          <w:szCs w:val="24"/>
        </w:rPr>
        <w:t xml:space="preserve">ield reconnaissance of the proposed mechanical fuels reduction treatment areas will need to occur prior to unit layout in </w:t>
      </w:r>
      <w:r w:rsidR="00BA016C" w:rsidRPr="00A8004F">
        <w:rPr>
          <w:sz w:val="24"/>
          <w:szCs w:val="24"/>
        </w:rPr>
        <w:lastRenderedPageBreak/>
        <w:t>order to validate slopes, site accessibility</w:t>
      </w:r>
      <w:r w:rsidR="00127FDD" w:rsidRPr="00A8004F">
        <w:rPr>
          <w:sz w:val="24"/>
          <w:szCs w:val="24"/>
        </w:rPr>
        <w:t>,</w:t>
      </w:r>
      <w:r w:rsidR="00BA016C" w:rsidRPr="00A8004F">
        <w:rPr>
          <w:sz w:val="24"/>
          <w:szCs w:val="24"/>
        </w:rPr>
        <w:t xml:space="preserve"> </w:t>
      </w:r>
      <w:r w:rsidR="00330222" w:rsidRPr="00A8004F">
        <w:rPr>
          <w:sz w:val="24"/>
          <w:szCs w:val="24"/>
        </w:rPr>
        <w:t xml:space="preserve">ladder fuel presence, </w:t>
      </w:r>
      <w:r w:rsidR="00BA016C" w:rsidRPr="00A8004F">
        <w:rPr>
          <w:sz w:val="24"/>
          <w:szCs w:val="24"/>
        </w:rPr>
        <w:t xml:space="preserve">and any other potential constraints </w:t>
      </w:r>
      <w:r w:rsidR="00BA6DBA" w:rsidRPr="00A8004F">
        <w:rPr>
          <w:sz w:val="24"/>
          <w:szCs w:val="24"/>
        </w:rPr>
        <w:t>(e.g.,</w:t>
      </w:r>
      <w:r w:rsidR="00A0793C" w:rsidRPr="00A8004F">
        <w:rPr>
          <w:sz w:val="24"/>
          <w:szCs w:val="24"/>
        </w:rPr>
        <w:t xml:space="preserve"> stream</w:t>
      </w:r>
      <w:r w:rsidR="00BA6DBA" w:rsidRPr="00A8004F">
        <w:rPr>
          <w:sz w:val="24"/>
          <w:szCs w:val="24"/>
        </w:rPr>
        <w:t xml:space="preserve"> </w:t>
      </w:r>
      <w:r w:rsidR="005332FD" w:rsidRPr="00A8004F">
        <w:rPr>
          <w:sz w:val="24"/>
          <w:szCs w:val="24"/>
        </w:rPr>
        <w:t xml:space="preserve">exclusionary zones, sensitive resources, </w:t>
      </w:r>
      <w:r w:rsidR="00BA6DBA" w:rsidRPr="00A8004F">
        <w:rPr>
          <w:sz w:val="24"/>
          <w:szCs w:val="24"/>
        </w:rPr>
        <w:t>barren areas</w:t>
      </w:r>
      <w:r w:rsidR="005332FD" w:rsidRPr="00A8004F">
        <w:rPr>
          <w:sz w:val="24"/>
          <w:szCs w:val="24"/>
        </w:rPr>
        <w:t xml:space="preserve">) </w:t>
      </w:r>
      <w:r w:rsidR="00BA016C" w:rsidRPr="00A8004F">
        <w:rPr>
          <w:sz w:val="24"/>
          <w:szCs w:val="24"/>
        </w:rPr>
        <w:t>to mechanical operations</w:t>
      </w:r>
      <w:r w:rsidR="00400E89" w:rsidRPr="00A8004F">
        <w:rPr>
          <w:sz w:val="24"/>
          <w:szCs w:val="24"/>
        </w:rPr>
        <w:t xml:space="preserve"> not </w:t>
      </w:r>
      <w:r w:rsidR="00946286" w:rsidRPr="00A8004F">
        <w:rPr>
          <w:sz w:val="24"/>
          <w:szCs w:val="24"/>
        </w:rPr>
        <w:t>identified as part of th</w:t>
      </w:r>
      <w:r w:rsidR="00ED09F5" w:rsidRPr="00A8004F">
        <w:rPr>
          <w:sz w:val="24"/>
          <w:szCs w:val="24"/>
        </w:rPr>
        <w:t>is assessment</w:t>
      </w:r>
      <w:r w:rsidR="00400E89" w:rsidRPr="00A8004F">
        <w:rPr>
          <w:sz w:val="24"/>
          <w:szCs w:val="24"/>
        </w:rPr>
        <w:t>.</w:t>
      </w:r>
      <w:r w:rsidR="00BD1E5D" w:rsidRPr="00A8004F">
        <w:rPr>
          <w:sz w:val="24"/>
          <w:szCs w:val="24"/>
        </w:rPr>
        <w:t xml:space="preserve"> </w:t>
      </w:r>
      <w:r w:rsidR="007C7F28" w:rsidRPr="00A8004F">
        <w:rPr>
          <w:sz w:val="24"/>
          <w:szCs w:val="24"/>
        </w:rPr>
        <w:t>Hand thinning will be utilized w</w:t>
      </w:r>
      <w:r w:rsidR="00C83DD4" w:rsidRPr="00A8004F">
        <w:rPr>
          <w:sz w:val="24"/>
          <w:szCs w:val="24"/>
        </w:rPr>
        <w:t xml:space="preserve">herever mechanical fuels reduction treatments are determined to not </w:t>
      </w:r>
      <w:r w:rsidR="00C23545" w:rsidRPr="00A8004F">
        <w:rPr>
          <w:sz w:val="24"/>
          <w:szCs w:val="24"/>
        </w:rPr>
        <w:t xml:space="preserve">be </w:t>
      </w:r>
      <w:r w:rsidR="00C83DD4" w:rsidRPr="00A8004F">
        <w:rPr>
          <w:sz w:val="24"/>
          <w:szCs w:val="24"/>
        </w:rPr>
        <w:t>suitable based on</w:t>
      </w:r>
      <w:r w:rsidR="006D2461" w:rsidRPr="00A8004F">
        <w:rPr>
          <w:sz w:val="24"/>
          <w:szCs w:val="24"/>
        </w:rPr>
        <w:t xml:space="preserve"> findings of</w:t>
      </w:r>
      <w:r w:rsidR="0011693D" w:rsidRPr="00A8004F">
        <w:rPr>
          <w:sz w:val="24"/>
          <w:szCs w:val="24"/>
        </w:rPr>
        <w:t xml:space="preserve"> </w:t>
      </w:r>
      <w:r w:rsidR="00C83DD4" w:rsidRPr="00A8004F">
        <w:rPr>
          <w:sz w:val="24"/>
          <w:szCs w:val="24"/>
        </w:rPr>
        <w:t>field reconnaissance.</w:t>
      </w:r>
      <w:r w:rsidR="00F750FE">
        <w:rPr>
          <w:sz w:val="24"/>
          <w:szCs w:val="24"/>
        </w:rPr>
        <w:t>)</w:t>
      </w:r>
    </w:p>
    <w:p w14:paraId="635E0A93" w14:textId="0B82215F" w:rsidR="00E96315" w:rsidRPr="00E96315" w:rsidRDefault="00E96315" w:rsidP="006F2B46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CF2CC3">
        <w:rPr>
          <w:sz w:val="24"/>
          <w:szCs w:val="24"/>
        </w:rPr>
        <w:t>University of Washington,</w:t>
      </w:r>
      <w:r>
        <w:rPr>
          <w:sz w:val="24"/>
          <w:szCs w:val="24"/>
        </w:rPr>
        <w:t xml:space="preserve"> Forest Resilience Lab LiDAR-derived </w:t>
      </w:r>
      <w:r w:rsidR="00CF2CC3">
        <w:rPr>
          <w:sz w:val="24"/>
          <w:szCs w:val="24"/>
        </w:rPr>
        <w:t>products</w:t>
      </w:r>
      <w:r>
        <w:rPr>
          <w:sz w:val="24"/>
          <w:szCs w:val="24"/>
        </w:rPr>
        <w:t xml:space="preserve"> were </w:t>
      </w:r>
      <w:r w:rsidRPr="00F86485">
        <w:rPr>
          <w:sz w:val="24"/>
          <w:szCs w:val="24"/>
        </w:rPr>
        <w:t xml:space="preserve">not available </w:t>
      </w:r>
      <w:r>
        <w:rPr>
          <w:sz w:val="24"/>
          <w:szCs w:val="24"/>
        </w:rPr>
        <w:t xml:space="preserve">at the time of this document preparation; however, these metrics will be utilized </w:t>
      </w:r>
      <w:r w:rsidR="00CF2CC3">
        <w:rPr>
          <w:sz w:val="24"/>
          <w:szCs w:val="24"/>
        </w:rPr>
        <w:t>to inform the</w:t>
      </w:r>
      <w:r>
        <w:rPr>
          <w:sz w:val="24"/>
          <w:szCs w:val="24"/>
        </w:rPr>
        <w:t xml:space="preserve"> FPP </w:t>
      </w:r>
      <w:r w:rsidR="00CF2CC3">
        <w:rPr>
          <w:sz w:val="24"/>
          <w:szCs w:val="24"/>
        </w:rPr>
        <w:t xml:space="preserve">project </w:t>
      </w:r>
      <w:r>
        <w:rPr>
          <w:sz w:val="24"/>
          <w:szCs w:val="24"/>
        </w:rPr>
        <w:t xml:space="preserve">once </w:t>
      </w:r>
      <w:r w:rsidR="00CF2CC3">
        <w:rPr>
          <w:sz w:val="24"/>
          <w:szCs w:val="24"/>
        </w:rPr>
        <w:t>available</w:t>
      </w:r>
      <w:r>
        <w:rPr>
          <w:sz w:val="24"/>
          <w:szCs w:val="24"/>
        </w:rPr>
        <w:t>: percent canopy cover by stratum (1</w:t>
      </w:r>
      <w:r w:rsidR="00CF2CC3">
        <w:rPr>
          <w:sz w:val="24"/>
          <w:szCs w:val="24"/>
        </w:rPr>
        <w:t>-2m, 2-4m, 4</w:t>
      </w:r>
      <w:r>
        <w:rPr>
          <w:sz w:val="24"/>
          <w:szCs w:val="24"/>
        </w:rPr>
        <w:t>-8m), canopy base height, basal area, TAOs per hectare, and the resilience departure index.</w:t>
      </w:r>
    </w:p>
    <w:p w14:paraId="07925E10" w14:textId="5A025F0A" w:rsidR="006D2461" w:rsidRDefault="006D2461" w:rsidP="0052167A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>14,</w:t>
      </w:r>
      <w:r w:rsidR="00E96315">
        <w:rPr>
          <w:sz w:val="24"/>
          <w:szCs w:val="24"/>
        </w:rPr>
        <w:t>527</w:t>
      </w:r>
      <w:r w:rsidR="0078318F">
        <w:rPr>
          <w:sz w:val="24"/>
          <w:szCs w:val="24"/>
        </w:rPr>
        <w:t xml:space="preserve"> acres of were identified</w:t>
      </w:r>
      <w:r w:rsidR="00C7290D">
        <w:rPr>
          <w:sz w:val="24"/>
          <w:szCs w:val="24"/>
        </w:rPr>
        <w:t xml:space="preserve"> from </w:t>
      </w:r>
      <w:r w:rsidR="002577D2">
        <w:rPr>
          <w:sz w:val="24"/>
          <w:szCs w:val="24"/>
        </w:rPr>
        <w:t xml:space="preserve">this assessment. These </w:t>
      </w:r>
      <w:r w:rsidR="00B52197">
        <w:rPr>
          <w:sz w:val="24"/>
          <w:szCs w:val="24"/>
        </w:rPr>
        <w:t xml:space="preserve">mechanical fuels reduction treatment </w:t>
      </w:r>
      <w:r w:rsidR="002577D2">
        <w:rPr>
          <w:sz w:val="24"/>
          <w:szCs w:val="24"/>
        </w:rPr>
        <w:t>areas were s</w:t>
      </w:r>
      <w:r>
        <w:rPr>
          <w:sz w:val="24"/>
          <w:szCs w:val="24"/>
        </w:rPr>
        <w:t xml:space="preserve">trictly within the WUI and </w:t>
      </w:r>
      <w:r w:rsidR="0078318F">
        <w:rPr>
          <w:sz w:val="24"/>
          <w:szCs w:val="24"/>
        </w:rPr>
        <w:t>predominately located in the lower elevations (&lt; 7,000 ft</w:t>
      </w:r>
      <w:r w:rsidR="00AD0073">
        <w:rPr>
          <w:sz w:val="24"/>
          <w:szCs w:val="24"/>
        </w:rPr>
        <w:t xml:space="preserve">, </w:t>
      </w:r>
      <w:r w:rsidR="003666E1">
        <w:rPr>
          <w:sz w:val="24"/>
          <w:szCs w:val="24"/>
        </w:rPr>
        <w:t xml:space="preserve">see </w:t>
      </w:r>
      <w:r w:rsidR="00D75E9D">
        <w:rPr>
          <w:sz w:val="24"/>
          <w:szCs w:val="24"/>
        </w:rPr>
        <w:t>Figure 1</w:t>
      </w:r>
      <w:r>
        <w:rPr>
          <w:sz w:val="24"/>
          <w:szCs w:val="24"/>
        </w:rPr>
        <w:t>).</w:t>
      </w:r>
      <w:r w:rsidR="0079625D">
        <w:rPr>
          <w:sz w:val="24"/>
          <w:szCs w:val="24"/>
        </w:rPr>
        <w:t xml:space="preserve"> </w:t>
      </w:r>
      <w:r w:rsidR="003666E1">
        <w:rPr>
          <w:sz w:val="24"/>
          <w:szCs w:val="24"/>
        </w:rPr>
        <w:t xml:space="preserve">Approximately 20% of this treatment area </w:t>
      </w:r>
      <w:r w:rsidR="00C07487">
        <w:rPr>
          <w:sz w:val="24"/>
          <w:szCs w:val="24"/>
        </w:rPr>
        <w:t>overlap</w:t>
      </w:r>
      <w:r w:rsidR="003666E1">
        <w:rPr>
          <w:sz w:val="24"/>
          <w:szCs w:val="24"/>
        </w:rPr>
        <w:t xml:space="preserve"> prescribed burning treatment areas (see next section)</w:t>
      </w:r>
      <w:r w:rsidR="00CF2CC3">
        <w:rPr>
          <w:sz w:val="24"/>
          <w:szCs w:val="24"/>
        </w:rPr>
        <w:t>. Approximately</w:t>
      </w:r>
      <w:r w:rsidR="003666E1">
        <w:rPr>
          <w:sz w:val="24"/>
          <w:szCs w:val="24"/>
        </w:rPr>
        <w:t xml:space="preserve"> 30% of the treatment area falls within areas with known Arch survey coverage adequacy (“confirmed”), with the remaining in areas with either unknown Arch survey coverage adequacy or no survey coverage (“conditional”). </w:t>
      </w:r>
      <w:r w:rsidR="001B1D7D">
        <w:rPr>
          <w:sz w:val="24"/>
          <w:szCs w:val="24"/>
        </w:rPr>
        <w:t>See Table 2 for a full summary of the proposed treatment activities and acreages.</w:t>
      </w:r>
    </w:p>
    <w:p w14:paraId="1D378621" w14:textId="30508289" w:rsidR="00B31DD1" w:rsidRPr="00B31DD1" w:rsidRDefault="00B31DD1" w:rsidP="00B31DD1">
      <w:pPr>
        <w:pStyle w:val="NoSpacing"/>
        <w:spacing w:before="360" w:after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Identification of </w:t>
      </w:r>
      <w:r>
        <w:rPr>
          <w:b/>
          <w:bCs/>
          <w:i/>
          <w:iCs/>
          <w:sz w:val="24"/>
          <w:szCs w:val="24"/>
        </w:rPr>
        <w:t>Locations</w:t>
      </w:r>
      <w:r>
        <w:rPr>
          <w:b/>
          <w:bCs/>
          <w:i/>
          <w:iCs/>
          <w:sz w:val="24"/>
          <w:szCs w:val="24"/>
        </w:rPr>
        <w:t xml:space="preserve"> for </w:t>
      </w:r>
      <w:r>
        <w:rPr>
          <w:b/>
          <w:bCs/>
          <w:i/>
          <w:iCs/>
          <w:sz w:val="24"/>
          <w:szCs w:val="24"/>
        </w:rPr>
        <w:t>Hand Thinning, Prescribed Burning, &amp; Aspen Restoration</w:t>
      </w:r>
      <w:r>
        <w:rPr>
          <w:b/>
          <w:bCs/>
          <w:i/>
          <w:iCs/>
          <w:sz w:val="24"/>
          <w:szCs w:val="24"/>
        </w:rPr>
        <w:t xml:space="preserve"> Treatments</w:t>
      </w:r>
    </w:p>
    <w:p w14:paraId="7E1647FD" w14:textId="43A96913" w:rsidR="000A08BC" w:rsidRDefault="00B31DD1" w:rsidP="0052167A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Locations and extent of aspen restoration and prescribed burning treatment activity areas were identified by FS specialists through their own spatial analyses, expertise and knowledge of on-the-ground treatment needs. </w:t>
      </w:r>
      <w:r w:rsidR="003666E1">
        <w:rPr>
          <w:sz w:val="24"/>
          <w:szCs w:val="24"/>
        </w:rPr>
        <w:t xml:space="preserve">See </w:t>
      </w:r>
      <w:r w:rsidR="00D75E9D">
        <w:rPr>
          <w:sz w:val="24"/>
          <w:szCs w:val="24"/>
        </w:rPr>
        <w:t>Figure 1</w:t>
      </w:r>
      <w:r w:rsidR="003666E1">
        <w:rPr>
          <w:sz w:val="24"/>
          <w:szCs w:val="24"/>
        </w:rPr>
        <w:t>.</w:t>
      </w:r>
    </w:p>
    <w:p w14:paraId="25E49CA4" w14:textId="529B6D0A" w:rsidR="00017FC0" w:rsidRDefault="000A08BC" w:rsidP="0052167A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Hand thinning was identified as a district-wide need by </w:t>
      </w:r>
      <w:r w:rsidR="00B31DD1">
        <w:rPr>
          <w:sz w:val="24"/>
          <w:szCs w:val="24"/>
        </w:rPr>
        <w:t>FS specialists. Subsequently, hand thinning, as a stand-alone treatment, was identified in all areas within the proposed project area not already identified as another trea</w:t>
      </w:r>
      <w:r w:rsidR="00B31DD1" w:rsidRPr="002577D2">
        <w:rPr>
          <w:sz w:val="24"/>
          <w:szCs w:val="24"/>
        </w:rPr>
        <w:t>tment activity type</w:t>
      </w:r>
      <w:r w:rsidR="00C07487">
        <w:rPr>
          <w:sz w:val="24"/>
          <w:szCs w:val="24"/>
        </w:rPr>
        <w:t xml:space="preserve"> – once </w:t>
      </w:r>
      <w:r>
        <w:rPr>
          <w:sz w:val="24"/>
          <w:szCs w:val="24"/>
        </w:rPr>
        <w:t xml:space="preserve">locations of mechanical fuels reduction, prescribed burning and aspen restoration </w:t>
      </w:r>
      <w:r w:rsidR="00CF2CC3">
        <w:rPr>
          <w:sz w:val="24"/>
          <w:szCs w:val="24"/>
        </w:rPr>
        <w:t xml:space="preserve">treatment areas </w:t>
      </w:r>
      <w:r>
        <w:rPr>
          <w:sz w:val="24"/>
          <w:szCs w:val="24"/>
        </w:rPr>
        <w:t xml:space="preserve">were delineated, all </w:t>
      </w:r>
      <w:r w:rsidR="00C07487">
        <w:rPr>
          <w:sz w:val="24"/>
          <w:szCs w:val="24"/>
        </w:rPr>
        <w:t xml:space="preserve">remaining areas </w:t>
      </w:r>
      <w:r>
        <w:rPr>
          <w:sz w:val="24"/>
          <w:szCs w:val="24"/>
        </w:rPr>
        <w:t xml:space="preserve">within the project boundary were then identified as </w:t>
      </w:r>
      <w:r w:rsidR="003666E1">
        <w:rPr>
          <w:sz w:val="24"/>
          <w:szCs w:val="24"/>
        </w:rPr>
        <w:t xml:space="preserve">hand thinning </w:t>
      </w:r>
      <w:r w:rsidR="00C07487">
        <w:rPr>
          <w:sz w:val="24"/>
          <w:szCs w:val="24"/>
        </w:rPr>
        <w:t xml:space="preserve">only </w:t>
      </w:r>
      <w:r>
        <w:rPr>
          <w:sz w:val="24"/>
          <w:szCs w:val="24"/>
        </w:rPr>
        <w:t>treatment</w:t>
      </w:r>
      <w:r w:rsidR="003666E1">
        <w:rPr>
          <w:sz w:val="24"/>
          <w:szCs w:val="24"/>
        </w:rPr>
        <w:t xml:space="preserve"> areas</w:t>
      </w:r>
      <w:r>
        <w:rPr>
          <w:sz w:val="24"/>
          <w:szCs w:val="24"/>
        </w:rPr>
        <w:t xml:space="preserve">. </w:t>
      </w:r>
    </w:p>
    <w:p w14:paraId="710FE1C6" w14:textId="66854F7C" w:rsidR="00B31DD1" w:rsidRPr="006D2461" w:rsidRDefault="00CF2CC3" w:rsidP="0052167A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C07487">
        <w:rPr>
          <w:sz w:val="24"/>
          <w:szCs w:val="24"/>
        </w:rPr>
        <w:t>warranted</w:t>
      </w:r>
      <w:r>
        <w:rPr>
          <w:sz w:val="24"/>
          <w:szCs w:val="24"/>
        </w:rPr>
        <w:t>, the</w:t>
      </w:r>
      <w:r w:rsidR="00017FC0">
        <w:rPr>
          <w:sz w:val="24"/>
          <w:szCs w:val="24"/>
        </w:rPr>
        <w:t xml:space="preserve"> abovementioned prioritization process</w:t>
      </w:r>
      <w:r>
        <w:rPr>
          <w:sz w:val="24"/>
          <w:szCs w:val="24"/>
        </w:rPr>
        <w:t>, coupled with FS specialist input and expertise,</w:t>
      </w:r>
      <w:r w:rsidR="00017FC0">
        <w:rPr>
          <w:sz w:val="24"/>
          <w:szCs w:val="24"/>
        </w:rPr>
        <w:t xml:space="preserve"> may be utilized to identify priority areas for hand thinning and prescribed fire</w:t>
      </w:r>
      <w:r>
        <w:rPr>
          <w:sz w:val="24"/>
          <w:szCs w:val="24"/>
        </w:rPr>
        <w:t>.</w:t>
      </w:r>
    </w:p>
    <w:p w14:paraId="1ABF8507" w14:textId="223287D9" w:rsidR="0052167A" w:rsidRPr="00D0039A" w:rsidRDefault="0052167A" w:rsidP="002577D2">
      <w:pPr>
        <w:pStyle w:val="NoSpacing"/>
        <w:spacing w:before="360" w:after="240"/>
        <w:rPr>
          <w:b/>
          <w:bCs/>
          <w:sz w:val="24"/>
          <w:szCs w:val="24"/>
        </w:rPr>
      </w:pPr>
      <w:r w:rsidRPr="00D0039A">
        <w:rPr>
          <w:b/>
          <w:bCs/>
          <w:sz w:val="24"/>
          <w:szCs w:val="24"/>
        </w:rPr>
        <w:t>References</w:t>
      </w:r>
    </w:p>
    <w:p w14:paraId="405F1B5C" w14:textId="77777777" w:rsidR="0052167A" w:rsidRPr="006D2461" w:rsidRDefault="0052167A" w:rsidP="001A09B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6D2461">
        <w:rPr>
          <w:sz w:val="23"/>
          <w:szCs w:val="23"/>
        </w:rPr>
        <w:t xml:space="preserve">Amador-Calaveras Consensus Group (ACCG) Strategic Landscape Assessment Work Group (SLAWG) GIS Tools. (2020). Website link: </w:t>
      </w:r>
      <w:hyperlink r:id="rId8" w:history="1">
        <w:r w:rsidRPr="006D2461">
          <w:rPr>
            <w:rStyle w:val="Hyperlink"/>
            <w:sz w:val="23"/>
            <w:szCs w:val="23"/>
          </w:rPr>
          <w:t>https://acconsensus.org/work-groups/slawg/</w:t>
        </w:r>
      </w:hyperlink>
      <w:r w:rsidRPr="006D2461">
        <w:rPr>
          <w:sz w:val="23"/>
          <w:szCs w:val="23"/>
        </w:rPr>
        <w:t>.</w:t>
      </w:r>
    </w:p>
    <w:p w14:paraId="1BA96CA5" w14:textId="77777777" w:rsidR="0052167A" w:rsidRPr="006D2461" w:rsidRDefault="0052167A" w:rsidP="001A09B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6D2461">
        <w:rPr>
          <w:sz w:val="23"/>
          <w:szCs w:val="23"/>
        </w:rPr>
        <w:t xml:space="preserve">North, M., Boynton, R. M., Stine, P. A., Shipley, K. F., Underwood, E. C., Roth, N. E., </w:t>
      </w:r>
      <w:proofErr w:type="spellStart"/>
      <w:r w:rsidRPr="006D2461">
        <w:rPr>
          <w:sz w:val="23"/>
          <w:szCs w:val="23"/>
        </w:rPr>
        <w:t>Viers</w:t>
      </w:r>
      <w:proofErr w:type="spellEnd"/>
      <w:r w:rsidRPr="006D2461">
        <w:rPr>
          <w:sz w:val="23"/>
          <w:szCs w:val="23"/>
        </w:rPr>
        <w:t xml:space="preserve">, J. H. &amp; Quinn, J. F. (2012). Geographic information system landscape analysis using GTR 220 concepts. In: North, Malcolm, ed. 2012. Managing Sierra Nevada forests. Gen. Tech. Rep. PSW-GTR-237. Albany, CA: US Department of Agriculture, Forest Service, Pacific Southwest Research Station. pp. 107-115, 237, 107-115. Link to The Landscape Management Unit (LMU) Tool, version 2, </w:t>
      </w:r>
      <w:r w:rsidRPr="006D2461">
        <w:rPr>
          <w:sz w:val="23"/>
          <w:szCs w:val="23"/>
        </w:rPr>
        <w:lastRenderedPageBreak/>
        <w:t xml:space="preserve">University of California, Davis, Information Center for the Environment: </w:t>
      </w:r>
      <w:hyperlink r:id="rId9" w:history="1">
        <w:r w:rsidRPr="006D2461">
          <w:rPr>
            <w:rStyle w:val="Hyperlink"/>
            <w:sz w:val="23"/>
            <w:szCs w:val="23"/>
          </w:rPr>
          <w:t>https://www.ice.ucdavis.edu//project/landscape_management_unit_lmu_tool</w:t>
        </w:r>
      </w:hyperlink>
    </w:p>
    <w:p w14:paraId="4DB9AFB6" w14:textId="77777777" w:rsidR="0052167A" w:rsidRPr="006D2461" w:rsidRDefault="0052167A" w:rsidP="001A09B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6D2461">
        <w:rPr>
          <w:sz w:val="23"/>
          <w:szCs w:val="23"/>
        </w:rPr>
        <w:t>Thompson, M. P., Bowden, P., Brough, A., Scott, J. H., Gilbertson-Day, J., Taylor, A., ... &amp; Haas, J. R. (2016). Application of wildfire risk assessment results to wildfire response planning in the southern Sierra Nevada, California, USA. Forests, 7(3), 64.</w:t>
      </w:r>
    </w:p>
    <w:p w14:paraId="6796B4AD" w14:textId="77777777" w:rsidR="0052167A" w:rsidRPr="006D2461" w:rsidRDefault="0052167A" w:rsidP="001A09B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6D2461">
        <w:rPr>
          <w:sz w:val="23"/>
          <w:szCs w:val="23"/>
        </w:rPr>
        <w:t xml:space="preserve">Wilson, Kristen N., and Patricia N. Manley, editors. (2021). Assessment of Current Landscape Conditions: Tahoe-Central Sierra Initiative. An unpublished report of the Tahoe Central Sierra Initiative. </w:t>
      </w:r>
      <w:hyperlink r:id="rId10" w:history="1">
        <w:r w:rsidRPr="006D2461">
          <w:rPr>
            <w:rStyle w:val="Hyperlink"/>
            <w:sz w:val="23"/>
            <w:szCs w:val="23"/>
          </w:rPr>
          <w:t>https://sierranevada.ca.gov/wp-content/uploads/sites/326/2021/10/TCSI-AssessmentOfCurrentConditions.pdf</w:t>
        </w:r>
      </w:hyperlink>
    </w:p>
    <w:p w14:paraId="1B9E4FB4" w14:textId="77777777" w:rsidR="0052167A" w:rsidRPr="006D2461" w:rsidRDefault="0052167A" w:rsidP="001A09B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6D2461">
        <w:rPr>
          <w:sz w:val="23"/>
          <w:szCs w:val="23"/>
        </w:rPr>
        <w:t xml:space="preserve">USDA Forest Service. (2021). Social and Ecological Resilience Across the Landscape: Draft Environmental Impact Statement. </w:t>
      </w:r>
      <w:hyperlink r:id="rId11" w:history="1">
        <w:r w:rsidRPr="006D2461">
          <w:rPr>
            <w:rStyle w:val="Hyperlink"/>
            <w:sz w:val="23"/>
            <w:szCs w:val="23"/>
          </w:rPr>
          <w:t>https://www.fs.usda.gov/project/?project=56500</w:t>
        </w:r>
      </w:hyperlink>
    </w:p>
    <w:p w14:paraId="6F61EC9F" w14:textId="273EA96F" w:rsidR="0052167A" w:rsidRPr="006D2461" w:rsidRDefault="00FD7BFB" w:rsidP="001A09B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6D2461">
        <w:rPr>
          <w:sz w:val="23"/>
          <w:szCs w:val="23"/>
        </w:rPr>
        <w:t xml:space="preserve">USDA Forest Service. 2021(b). Priority Areas for Treatment, USFS Region 5 Forest Health Protection 2021 Update. </w:t>
      </w:r>
      <w:hyperlink r:id="rId12" w:history="1">
        <w:r w:rsidRPr="006D2461">
          <w:rPr>
            <w:rStyle w:val="Hyperlink"/>
            <w:sz w:val="23"/>
            <w:szCs w:val="23"/>
          </w:rPr>
          <w:t>https://www.arcgis.com/home/item.html?id=a95ec71cc0a5475e8e05bfe056bdbd3c</w:t>
        </w:r>
      </w:hyperlink>
      <w:r w:rsidRPr="006D2461">
        <w:rPr>
          <w:sz w:val="23"/>
          <w:szCs w:val="23"/>
        </w:rPr>
        <w:t xml:space="preserve"> </w:t>
      </w:r>
    </w:p>
    <w:p w14:paraId="1799694A" w14:textId="77777777" w:rsidR="00E03779" w:rsidRDefault="00E03779" w:rsidP="001A09BB">
      <w:pPr>
        <w:pStyle w:val="NoSpacing"/>
        <w:rPr>
          <w:b/>
          <w:bCs/>
          <w:sz w:val="24"/>
          <w:szCs w:val="24"/>
        </w:rPr>
        <w:sectPr w:rsidR="00E03779" w:rsidSect="001A09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3224C474" w14:textId="378BE662" w:rsidR="0066521F" w:rsidRDefault="0066521F" w:rsidP="00FA7664">
      <w:pPr>
        <w:pStyle w:val="NoSpacing"/>
        <w:spacing w:after="240"/>
        <w:rPr>
          <w:sz w:val="24"/>
          <w:szCs w:val="24"/>
        </w:rPr>
      </w:pPr>
      <w:r w:rsidRPr="00B2528F">
        <w:rPr>
          <w:b/>
          <w:bCs/>
          <w:sz w:val="24"/>
          <w:szCs w:val="24"/>
        </w:rPr>
        <w:lastRenderedPageBreak/>
        <w:t>Table 1</w:t>
      </w:r>
      <w:r>
        <w:rPr>
          <w:sz w:val="24"/>
          <w:szCs w:val="24"/>
        </w:rPr>
        <w:t xml:space="preserve">: </w:t>
      </w:r>
      <w:r w:rsidR="00952193">
        <w:rPr>
          <w:sz w:val="24"/>
          <w:szCs w:val="24"/>
        </w:rPr>
        <w:t xml:space="preserve">Forest Projects Plan (FPP) </w:t>
      </w:r>
      <w:r w:rsidR="00690F87">
        <w:rPr>
          <w:sz w:val="24"/>
          <w:szCs w:val="24"/>
        </w:rPr>
        <w:t>Phase 1 l</w:t>
      </w:r>
      <w:r>
        <w:rPr>
          <w:sz w:val="24"/>
          <w:szCs w:val="24"/>
        </w:rPr>
        <w:t>andscape</w:t>
      </w:r>
      <w:r w:rsidR="00690F87">
        <w:rPr>
          <w:sz w:val="24"/>
          <w:szCs w:val="24"/>
        </w:rPr>
        <w:t xml:space="preserve"> current</w:t>
      </w:r>
      <w:r>
        <w:rPr>
          <w:sz w:val="24"/>
          <w:szCs w:val="24"/>
        </w:rPr>
        <w:t xml:space="preserve"> condition</w:t>
      </w:r>
      <w:r w:rsidR="00690F87">
        <w:rPr>
          <w:sz w:val="24"/>
          <w:szCs w:val="24"/>
        </w:rPr>
        <w:t xml:space="preserve"> assessment</w:t>
      </w:r>
      <w:r>
        <w:rPr>
          <w:sz w:val="24"/>
          <w:szCs w:val="24"/>
        </w:rPr>
        <w:t xml:space="preserve"> and prioritization</w:t>
      </w:r>
      <w:r w:rsidR="00690F87">
        <w:rPr>
          <w:sz w:val="24"/>
          <w:szCs w:val="24"/>
        </w:rPr>
        <w:t xml:space="preserve"> categories, sub-categories and metrics by acres</w:t>
      </w:r>
      <w:r>
        <w:rPr>
          <w:sz w:val="24"/>
          <w:szCs w:val="24"/>
        </w:rPr>
        <w:t xml:space="preserve"> and percent of project area.</w:t>
      </w:r>
      <w:r w:rsidR="006D2461">
        <w:rPr>
          <w:sz w:val="24"/>
          <w:szCs w:val="24"/>
        </w:rPr>
        <w:t xml:space="preserve"> Metrics in red font are those used for </w:t>
      </w:r>
      <w:r w:rsidR="00C700D7">
        <w:rPr>
          <w:sz w:val="24"/>
          <w:szCs w:val="24"/>
        </w:rPr>
        <w:t xml:space="preserve">the </w:t>
      </w:r>
      <w:r w:rsidR="006D2461">
        <w:rPr>
          <w:sz w:val="24"/>
          <w:szCs w:val="24"/>
        </w:rPr>
        <w:t>prioritization process.</w:t>
      </w:r>
      <w:r w:rsidR="00F86485">
        <w:rPr>
          <w:sz w:val="24"/>
          <w:szCs w:val="24"/>
        </w:rPr>
        <w:t xml:space="preserve"> </w:t>
      </w:r>
      <w:r w:rsidR="00F86485" w:rsidRPr="00F86485">
        <w:rPr>
          <w:sz w:val="24"/>
          <w:szCs w:val="24"/>
        </w:rPr>
        <w:t>*</w:t>
      </w:r>
      <w:r w:rsidR="00E96315">
        <w:rPr>
          <w:sz w:val="24"/>
          <w:szCs w:val="24"/>
        </w:rPr>
        <w:t xml:space="preserve">LiDAR-derived metrics from the University of Washington, Forest Resilience Lab were </w:t>
      </w:r>
      <w:r w:rsidR="00F86485" w:rsidRPr="00F86485">
        <w:rPr>
          <w:sz w:val="24"/>
          <w:szCs w:val="24"/>
        </w:rPr>
        <w:t xml:space="preserve">not available </w:t>
      </w:r>
      <w:r w:rsidR="00E96315">
        <w:rPr>
          <w:sz w:val="24"/>
          <w:szCs w:val="24"/>
        </w:rPr>
        <w:t>at the time of this document preparation – these metrics will be used in future FPP phases.</w:t>
      </w:r>
    </w:p>
    <w:p w14:paraId="7AFE7DBD" w14:textId="607FCE3D" w:rsidR="00E03779" w:rsidRDefault="001A09BB" w:rsidP="004A4421">
      <w:pPr>
        <w:pStyle w:val="NoSpacing"/>
        <w:spacing w:after="240"/>
        <w:rPr>
          <w:sz w:val="24"/>
          <w:szCs w:val="24"/>
        </w:rPr>
      </w:pPr>
      <w:r w:rsidRPr="001A09BB">
        <w:rPr>
          <w:noProof/>
        </w:rPr>
        <w:drawing>
          <wp:inline distT="0" distB="0" distL="0" distR="0" wp14:anchorId="7D9DD642" wp14:editId="680DAFB7">
            <wp:extent cx="8229600" cy="4773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732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E2780" w14:textId="6B43EC7A" w:rsidR="00D54FD6" w:rsidRDefault="00952193" w:rsidP="0014004A">
      <w:pPr>
        <w:pStyle w:val="NoSpacing"/>
        <w:spacing w:after="240"/>
        <w:rPr>
          <w:sz w:val="24"/>
          <w:szCs w:val="24"/>
        </w:rPr>
      </w:pPr>
      <w:r w:rsidRPr="00B2528F">
        <w:rPr>
          <w:b/>
          <w:bCs/>
          <w:sz w:val="24"/>
          <w:szCs w:val="24"/>
        </w:rPr>
        <w:lastRenderedPageBreak/>
        <w:t xml:space="preserve">Table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: Summary of Forest Projects Plan (FPP) Phase 1 proposed treatment activities and estimated acreages.</w:t>
      </w:r>
      <w:r w:rsidR="00E04DEA" w:rsidRPr="0014004A">
        <w:rPr>
          <w:sz w:val="24"/>
          <w:szCs w:val="24"/>
        </w:rPr>
        <w:t xml:space="preserve"> </w:t>
      </w:r>
    </w:p>
    <w:p w14:paraId="27D3E1C2" w14:textId="77777777" w:rsidR="00DD6EB4" w:rsidRDefault="00DD6EB4" w:rsidP="0014004A">
      <w:pPr>
        <w:pStyle w:val="NoSpacing"/>
        <w:spacing w:after="240"/>
        <w:rPr>
          <w:sz w:val="24"/>
          <w:szCs w:val="24"/>
        </w:rPr>
      </w:pPr>
    </w:p>
    <w:tbl>
      <w:tblPr>
        <w:tblW w:w="8815" w:type="dxa"/>
        <w:jc w:val="center"/>
        <w:tblLook w:val="04A0" w:firstRow="1" w:lastRow="0" w:firstColumn="1" w:lastColumn="0" w:noHBand="0" w:noVBand="1"/>
      </w:tblPr>
      <w:tblGrid>
        <w:gridCol w:w="813"/>
        <w:gridCol w:w="6292"/>
        <w:gridCol w:w="1710"/>
      </w:tblGrid>
      <w:tr w:rsidR="00DD6EB4" w:rsidRPr="00DD6EB4" w14:paraId="37D7DD0F" w14:textId="77777777" w:rsidTr="00DD6EB4">
        <w:trPr>
          <w:trHeight w:val="28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21C420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6DDE7B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Treatment activity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FD133C" w14:textId="77777777" w:rsidR="00DD6EB4" w:rsidRPr="00DD6EB4" w:rsidRDefault="00DD6EB4" w:rsidP="00DD6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Estimated acres</w:t>
            </w:r>
          </w:p>
        </w:tc>
      </w:tr>
      <w:tr w:rsidR="00DD6EB4" w:rsidRPr="00DD6EB4" w14:paraId="796C66C9" w14:textId="77777777" w:rsidTr="00DD6EB4">
        <w:trPr>
          <w:trHeight w:val="288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5074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6156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Mechanical fuels reduction* (confirmed)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8FF" w14:textId="77777777" w:rsidR="00DD6EB4" w:rsidRPr="00DD6EB4" w:rsidRDefault="00DD6EB4" w:rsidP="00DD6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3,852</w:t>
            </w:r>
          </w:p>
        </w:tc>
      </w:tr>
      <w:tr w:rsidR="00DD6EB4" w:rsidRPr="00DD6EB4" w14:paraId="75E8B9AA" w14:textId="77777777" w:rsidTr="00DD6EB4">
        <w:trPr>
          <w:trHeight w:val="288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194A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17DB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Mechanical fuels reduction* (conditional)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FC94" w14:textId="77777777" w:rsidR="00DD6EB4" w:rsidRPr="00DD6EB4" w:rsidRDefault="00DD6EB4" w:rsidP="00DD6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7,661</w:t>
            </w:r>
          </w:p>
        </w:tc>
      </w:tr>
      <w:tr w:rsidR="00DD6EB4" w:rsidRPr="00DD6EB4" w14:paraId="583926A7" w14:textId="77777777" w:rsidTr="00DD6EB4">
        <w:trPr>
          <w:trHeight w:val="288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15B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0FA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Mechanical fuels reduction* (confirmed), prescribed burning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678" w14:textId="77777777" w:rsidR="00DD6EB4" w:rsidRPr="00DD6EB4" w:rsidRDefault="00DD6EB4" w:rsidP="00DD6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</w:t>
            </w:r>
          </w:p>
        </w:tc>
      </w:tr>
      <w:tr w:rsidR="00DD6EB4" w:rsidRPr="00DD6EB4" w14:paraId="4EA0122F" w14:textId="77777777" w:rsidTr="00DD6EB4">
        <w:trPr>
          <w:trHeight w:val="288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570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1B53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Mechanical fuels reduction* (conditional), prescribed burning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1D7D" w14:textId="77777777" w:rsidR="00DD6EB4" w:rsidRPr="00DD6EB4" w:rsidRDefault="00DD6EB4" w:rsidP="00DD6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2,408</w:t>
            </w:r>
          </w:p>
        </w:tc>
      </w:tr>
      <w:tr w:rsidR="00DD6EB4" w:rsidRPr="00DD6EB4" w14:paraId="7A114E89" w14:textId="77777777" w:rsidTr="00DD6EB4">
        <w:trPr>
          <w:trHeight w:val="288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83BE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F4BA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 thinning only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6234" w14:textId="77777777" w:rsidR="00DD6EB4" w:rsidRPr="00DD6EB4" w:rsidRDefault="00DD6EB4" w:rsidP="00DD6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35,913</w:t>
            </w:r>
          </w:p>
        </w:tc>
      </w:tr>
      <w:tr w:rsidR="00DD6EB4" w:rsidRPr="00DD6EB4" w14:paraId="5A5DAF1D" w14:textId="77777777" w:rsidTr="00DD6EB4">
        <w:trPr>
          <w:trHeight w:val="288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E252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23B4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Prescribed burning (optional pre-hand thinning)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87E8" w14:textId="77777777" w:rsidR="00DD6EB4" w:rsidRPr="00DD6EB4" w:rsidRDefault="00DD6EB4" w:rsidP="00DD6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48,421</w:t>
            </w:r>
          </w:p>
        </w:tc>
      </w:tr>
      <w:tr w:rsidR="00DD6EB4" w:rsidRPr="00DD6EB4" w14:paraId="437A2787" w14:textId="77777777" w:rsidTr="00DD6EB4">
        <w:trPr>
          <w:trHeight w:val="288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D196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078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Aspen restoration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D16E" w14:textId="77777777" w:rsidR="00DD6EB4" w:rsidRPr="00DD6EB4" w:rsidRDefault="00DD6EB4" w:rsidP="00DD6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1,082</w:t>
            </w:r>
          </w:p>
        </w:tc>
      </w:tr>
      <w:tr w:rsidR="00DD6EB4" w:rsidRPr="00DD6EB4" w14:paraId="737318BE" w14:textId="77777777" w:rsidTr="00DD6EB4">
        <w:trPr>
          <w:trHeight w:val="288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3338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C8A2" w14:textId="77777777" w:rsidR="00DD6EB4" w:rsidRPr="00DD6EB4" w:rsidRDefault="00DD6EB4" w:rsidP="00DD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Aspen restoration, prescribed burning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A7CD" w14:textId="77777777" w:rsidR="00DD6EB4" w:rsidRPr="00DD6EB4" w:rsidRDefault="00DD6EB4" w:rsidP="00DD6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1,233</w:t>
            </w:r>
          </w:p>
        </w:tc>
      </w:tr>
      <w:tr w:rsidR="00DD6EB4" w:rsidRPr="00DD6EB4" w14:paraId="1ED0CAF5" w14:textId="77777777" w:rsidTr="00DD6EB4">
        <w:trPr>
          <w:trHeight w:val="288"/>
          <w:jc w:val="center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6D9" w14:textId="77777777" w:rsidR="00DD6EB4" w:rsidRPr="00DD6EB4" w:rsidRDefault="00DD6EB4" w:rsidP="00DD6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project acreage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E632" w14:textId="77777777" w:rsidR="00DD6EB4" w:rsidRPr="00DD6EB4" w:rsidRDefault="00DD6EB4" w:rsidP="00DD6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6E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101,176</w:t>
            </w:r>
          </w:p>
        </w:tc>
      </w:tr>
    </w:tbl>
    <w:p w14:paraId="1E974951" w14:textId="77777777" w:rsidR="00DD6EB4" w:rsidRDefault="00DD6EB4" w:rsidP="00DD6EB4">
      <w:pPr>
        <w:pStyle w:val="NoSpacing"/>
        <w:ind w:left="1440"/>
        <w:rPr>
          <w:b/>
          <w:bCs/>
        </w:rPr>
      </w:pPr>
    </w:p>
    <w:p w14:paraId="78CB89F5" w14:textId="2385606B" w:rsidR="00DD6EB4" w:rsidRPr="00DD6EB4" w:rsidRDefault="00DD6EB4" w:rsidP="00DD6EB4">
      <w:pPr>
        <w:pStyle w:val="NoSpacing"/>
        <w:ind w:left="1440"/>
      </w:pPr>
      <w:r w:rsidRPr="00DD6EB4">
        <w:rPr>
          <w:b/>
          <w:bCs/>
        </w:rPr>
        <w:t>*</w:t>
      </w:r>
      <w:r w:rsidRPr="00DD6EB4">
        <w:t>Hand thinning will be utilized wherever mechanical fuels reduction treatments are determined to not be suitable based on field reconnaissance.</w:t>
      </w:r>
    </w:p>
    <w:p w14:paraId="33787C95" w14:textId="77777777" w:rsidR="00DD6EB4" w:rsidRPr="00DD6EB4" w:rsidRDefault="00DD6EB4" w:rsidP="00DD6EB4">
      <w:pPr>
        <w:pStyle w:val="NoSpacing"/>
        <w:ind w:left="1440"/>
      </w:pPr>
      <w:r w:rsidRPr="00DD6EB4">
        <w:rPr>
          <w:b/>
          <w:bCs/>
          <w:i/>
          <w:iCs/>
        </w:rPr>
        <w:t>Confirmed</w:t>
      </w:r>
      <w:r w:rsidRPr="00DD6EB4">
        <w:t xml:space="preserve"> = adequate Arch survey coverage</w:t>
      </w:r>
    </w:p>
    <w:p w14:paraId="5223E40B" w14:textId="0977C9B0" w:rsidR="001A09BB" w:rsidRDefault="00DD6EB4" w:rsidP="00DD6EB4">
      <w:pPr>
        <w:pStyle w:val="NoSpacing"/>
        <w:ind w:left="1440"/>
      </w:pPr>
      <w:r w:rsidRPr="00DD6EB4">
        <w:rPr>
          <w:b/>
          <w:bCs/>
          <w:i/>
          <w:iCs/>
        </w:rPr>
        <w:t>Conditional</w:t>
      </w:r>
      <w:r w:rsidRPr="00DD6EB4">
        <w:t xml:space="preserve"> = Arch survey coverage adequacy unknown or there is no Arch survey coverage</w:t>
      </w:r>
    </w:p>
    <w:p w14:paraId="4959393A" w14:textId="7EF54F6A" w:rsidR="00D75E9D" w:rsidRDefault="00D75E9D" w:rsidP="00D75E9D">
      <w:pPr>
        <w:pStyle w:val="NoSpacing"/>
      </w:pPr>
    </w:p>
    <w:p w14:paraId="23F4A48C" w14:textId="7B595F41" w:rsidR="00D75E9D" w:rsidRDefault="00D75E9D" w:rsidP="00D75E9D">
      <w:pPr>
        <w:pStyle w:val="NoSpacing"/>
      </w:pPr>
    </w:p>
    <w:p w14:paraId="2EA83CFF" w14:textId="0738CA32" w:rsidR="00D75E9D" w:rsidRDefault="00D75E9D" w:rsidP="00D75E9D">
      <w:pPr>
        <w:pStyle w:val="NoSpacing"/>
      </w:pPr>
    </w:p>
    <w:p w14:paraId="28B1A58D" w14:textId="4228CD57" w:rsidR="00D75E9D" w:rsidRDefault="00D75E9D" w:rsidP="00D75E9D">
      <w:pPr>
        <w:pStyle w:val="NoSpacing"/>
      </w:pPr>
    </w:p>
    <w:p w14:paraId="325A6882" w14:textId="51681E44" w:rsidR="00D75E9D" w:rsidRDefault="00D75E9D" w:rsidP="00D75E9D">
      <w:pPr>
        <w:pStyle w:val="NoSpacing"/>
      </w:pPr>
    </w:p>
    <w:p w14:paraId="225DE4C8" w14:textId="071E8A7A" w:rsidR="00D75E9D" w:rsidRDefault="00D75E9D" w:rsidP="00D75E9D">
      <w:pPr>
        <w:pStyle w:val="NoSpacing"/>
      </w:pPr>
    </w:p>
    <w:p w14:paraId="39B3182D" w14:textId="26B3567C" w:rsidR="00D75E9D" w:rsidRDefault="00D75E9D" w:rsidP="00D75E9D">
      <w:pPr>
        <w:pStyle w:val="NoSpacing"/>
      </w:pPr>
    </w:p>
    <w:p w14:paraId="4909883F" w14:textId="0DBCB161" w:rsidR="00D75E9D" w:rsidRDefault="00D75E9D" w:rsidP="00D75E9D">
      <w:pPr>
        <w:pStyle w:val="NoSpacing"/>
      </w:pPr>
    </w:p>
    <w:p w14:paraId="1AED9D93" w14:textId="28C2C0E2" w:rsidR="00D75E9D" w:rsidRDefault="00D75E9D" w:rsidP="00D75E9D">
      <w:pPr>
        <w:pStyle w:val="NoSpacing"/>
      </w:pPr>
    </w:p>
    <w:p w14:paraId="526E6595" w14:textId="703BE9E8" w:rsidR="00D75E9D" w:rsidRDefault="00D75E9D" w:rsidP="00D75E9D">
      <w:pPr>
        <w:pStyle w:val="NoSpacing"/>
      </w:pPr>
    </w:p>
    <w:p w14:paraId="45894EE2" w14:textId="3FA419A1" w:rsidR="00D75E9D" w:rsidRDefault="00D75E9D" w:rsidP="00D75E9D">
      <w:pPr>
        <w:pStyle w:val="NoSpacing"/>
      </w:pPr>
    </w:p>
    <w:p w14:paraId="1578140D" w14:textId="3AA5F30A" w:rsidR="00D75E9D" w:rsidRDefault="00D75E9D" w:rsidP="00D75E9D">
      <w:pPr>
        <w:pStyle w:val="NoSpacing"/>
      </w:pPr>
    </w:p>
    <w:p w14:paraId="11C14834" w14:textId="3EFBAACA" w:rsidR="00D75E9D" w:rsidRDefault="00D75E9D" w:rsidP="00D75E9D">
      <w:pPr>
        <w:pStyle w:val="NoSpacing"/>
      </w:pPr>
    </w:p>
    <w:p w14:paraId="57D3CE30" w14:textId="47027AC5" w:rsidR="00D75E9D" w:rsidRDefault="00D75E9D" w:rsidP="00D75E9D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1D88964A" wp14:editId="56CA4120">
            <wp:extent cx="6915184" cy="534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836" cy="534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A6E19" w14:textId="77777777" w:rsidR="00D75E9D" w:rsidRDefault="00D75E9D" w:rsidP="00D75E9D">
      <w:pPr>
        <w:pStyle w:val="NoSpacing"/>
        <w:rPr>
          <w:b/>
          <w:bCs/>
        </w:rPr>
      </w:pPr>
    </w:p>
    <w:p w14:paraId="452CB1B5" w14:textId="52C96290" w:rsidR="00D75E9D" w:rsidRPr="00D75E9D" w:rsidRDefault="00D75E9D" w:rsidP="00D75E9D">
      <w:pPr>
        <w:pStyle w:val="NoSpacing"/>
        <w:rPr>
          <w:b/>
          <w:bCs/>
        </w:rPr>
      </w:pPr>
      <w:r w:rsidRPr="00D75E9D">
        <w:rPr>
          <w:b/>
          <w:bCs/>
        </w:rPr>
        <w:t xml:space="preserve">Figure 1: </w:t>
      </w:r>
      <w:r w:rsidRPr="00D75E9D">
        <w:t xml:space="preserve">Map of </w:t>
      </w:r>
      <w:r>
        <w:t xml:space="preserve">Forest Projects Plan (FPP) Phase 1 </w:t>
      </w:r>
      <w:r w:rsidRPr="00D75E9D">
        <w:t>proposed project boundary and treatment activity areas</w:t>
      </w:r>
      <w:r>
        <w:t>.</w:t>
      </w:r>
    </w:p>
    <w:sectPr w:rsidR="00D75E9D" w:rsidRPr="00D75E9D" w:rsidSect="00952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1288" w14:textId="77777777" w:rsidR="00F24483" w:rsidRDefault="00F24483" w:rsidP="00E03779">
      <w:pPr>
        <w:spacing w:after="0" w:line="240" w:lineRule="auto"/>
      </w:pPr>
      <w:r>
        <w:separator/>
      </w:r>
    </w:p>
  </w:endnote>
  <w:endnote w:type="continuationSeparator" w:id="0">
    <w:p w14:paraId="598C43BA" w14:textId="77777777" w:rsidR="00F24483" w:rsidRDefault="00F24483" w:rsidP="00E0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F7D" w14:textId="77777777" w:rsidR="00E03779" w:rsidRDefault="00E03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F33B" w14:textId="77777777" w:rsidR="00E03779" w:rsidRDefault="00E03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BDA6" w14:textId="77777777" w:rsidR="00E03779" w:rsidRDefault="00E03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7AF0" w14:textId="77777777" w:rsidR="00F24483" w:rsidRDefault="00F24483" w:rsidP="00E03779">
      <w:pPr>
        <w:spacing w:after="0" w:line="240" w:lineRule="auto"/>
      </w:pPr>
      <w:r>
        <w:separator/>
      </w:r>
    </w:p>
  </w:footnote>
  <w:footnote w:type="continuationSeparator" w:id="0">
    <w:p w14:paraId="0F54B559" w14:textId="77777777" w:rsidR="00F24483" w:rsidRDefault="00F24483" w:rsidP="00E0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CE51" w14:textId="015F3C84" w:rsidR="00E03779" w:rsidRDefault="00F24483">
    <w:pPr>
      <w:pStyle w:val="Header"/>
    </w:pPr>
    <w:r>
      <w:rPr>
        <w:noProof/>
      </w:rPr>
      <w:pict w14:anchorId="550A25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2204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FA21" w14:textId="09B205A9" w:rsidR="00E03779" w:rsidRDefault="00F24483">
    <w:pPr>
      <w:pStyle w:val="Header"/>
    </w:pPr>
    <w:r>
      <w:rPr>
        <w:noProof/>
      </w:rPr>
      <w:pict w14:anchorId="575F9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2205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D5FA" w14:textId="28C43FFC" w:rsidR="00E03779" w:rsidRDefault="00F24483">
    <w:pPr>
      <w:pStyle w:val="Header"/>
    </w:pPr>
    <w:r>
      <w:rPr>
        <w:noProof/>
      </w:rPr>
      <w:pict w14:anchorId="7A1F9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2203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47B20"/>
    <w:multiLevelType w:val="hybridMultilevel"/>
    <w:tmpl w:val="B4826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C86792"/>
    <w:multiLevelType w:val="hybridMultilevel"/>
    <w:tmpl w:val="B720C622"/>
    <w:lvl w:ilvl="0" w:tplc="D7069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4BB0"/>
    <w:multiLevelType w:val="hybridMultilevel"/>
    <w:tmpl w:val="C39A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7F3C"/>
    <w:multiLevelType w:val="hybridMultilevel"/>
    <w:tmpl w:val="09682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C52A8"/>
    <w:multiLevelType w:val="hybridMultilevel"/>
    <w:tmpl w:val="77E0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0D"/>
    <w:rsid w:val="0000095F"/>
    <w:rsid w:val="000034CA"/>
    <w:rsid w:val="00005317"/>
    <w:rsid w:val="00017FC0"/>
    <w:rsid w:val="0003219A"/>
    <w:rsid w:val="00037D93"/>
    <w:rsid w:val="00072FF7"/>
    <w:rsid w:val="00077DB6"/>
    <w:rsid w:val="00091580"/>
    <w:rsid w:val="000A08BC"/>
    <w:rsid w:val="000C2783"/>
    <w:rsid w:val="000C462C"/>
    <w:rsid w:val="000D2C21"/>
    <w:rsid w:val="000F7819"/>
    <w:rsid w:val="001071B6"/>
    <w:rsid w:val="0011693D"/>
    <w:rsid w:val="00127FDD"/>
    <w:rsid w:val="00130EB2"/>
    <w:rsid w:val="00136A91"/>
    <w:rsid w:val="00137F4E"/>
    <w:rsid w:val="0014004A"/>
    <w:rsid w:val="00146705"/>
    <w:rsid w:val="00160143"/>
    <w:rsid w:val="0016443C"/>
    <w:rsid w:val="00171A65"/>
    <w:rsid w:val="00174F8B"/>
    <w:rsid w:val="001A09BB"/>
    <w:rsid w:val="001B1D7D"/>
    <w:rsid w:val="001B7529"/>
    <w:rsid w:val="001C0243"/>
    <w:rsid w:val="001D0D76"/>
    <w:rsid w:val="001E63D6"/>
    <w:rsid w:val="00200DC6"/>
    <w:rsid w:val="00226E99"/>
    <w:rsid w:val="002577D2"/>
    <w:rsid w:val="00261F68"/>
    <w:rsid w:val="00286122"/>
    <w:rsid w:val="00292478"/>
    <w:rsid w:val="00293AF3"/>
    <w:rsid w:val="00297198"/>
    <w:rsid w:val="002B4760"/>
    <w:rsid w:val="002B555D"/>
    <w:rsid w:val="002C205E"/>
    <w:rsid w:val="002D2280"/>
    <w:rsid w:val="002F7027"/>
    <w:rsid w:val="003177EC"/>
    <w:rsid w:val="00326C66"/>
    <w:rsid w:val="00330222"/>
    <w:rsid w:val="00330868"/>
    <w:rsid w:val="00330CBF"/>
    <w:rsid w:val="00344821"/>
    <w:rsid w:val="003666E1"/>
    <w:rsid w:val="003677F3"/>
    <w:rsid w:val="00380953"/>
    <w:rsid w:val="003838CD"/>
    <w:rsid w:val="003850F9"/>
    <w:rsid w:val="003A7158"/>
    <w:rsid w:val="003C5009"/>
    <w:rsid w:val="003C7023"/>
    <w:rsid w:val="003D62B7"/>
    <w:rsid w:val="003E545E"/>
    <w:rsid w:val="003F00BA"/>
    <w:rsid w:val="003F4FE9"/>
    <w:rsid w:val="00400E89"/>
    <w:rsid w:val="00403D45"/>
    <w:rsid w:val="004152BE"/>
    <w:rsid w:val="00444489"/>
    <w:rsid w:val="0045355C"/>
    <w:rsid w:val="00492C47"/>
    <w:rsid w:val="004A4421"/>
    <w:rsid w:val="004C1AA3"/>
    <w:rsid w:val="004D3945"/>
    <w:rsid w:val="004D766E"/>
    <w:rsid w:val="004E0067"/>
    <w:rsid w:val="004E0E19"/>
    <w:rsid w:val="004E6A09"/>
    <w:rsid w:val="004E77F5"/>
    <w:rsid w:val="004F19EA"/>
    <w:rsid w:val="00511637"/>
    <w:rsid w:val="00515B60"/>
    <w:rsid w:val="0052167A"/>
    <w:rsid w:val="005332FD"/>
    <w:rsid w:val="00536E0A"/>
    <w:rsid w:val="00541A82"/>
    <w:rsid w:val="005570EC"/>
    <w:rsid w:val="00563A5B"/>
    <w:rsid w:val="005A35F5"/>
    <w:rsid w:val="005B7B8C"/>
    <w:rsid w:val="005C71A9"/>
    <w:rsid w:val="00611B26"/>
    <w:rsid w:val="00611F08"/>
    <w:rsid w:val="00614B5F"/>
    <w:rsid w:val="0062341F"/>
    <w:rsid w:val="00626329"/>
    <w:rsid w:val="006323AD"/>
    <w:rsid w:val="0066521F"/>
    <w:rsid w:val="0068008D"/>
    <w:rsid w:val="00690F87"/>
    <w:rsid w:val="00697505"/>
    <w:rsid w:val="006B6A68"/>
    <w:rsid w:val="006D2461"/>
    <w:rsid w:val="006E005E"/>
    <w:rsid w:val="006E0184"/>
    <w:rsid w:val="006F2B46"/>
    <w:rsid w:val="006F3628"/>
    <w:rsid w:val="006F5109"/>
    <w:rsid w:val="00711647"/>
    <w:rsid w:val="00731B60"/>
    <w:rsid w:val="00737B85"/>
    <w:rsid w:val="00744B64"/>
    <w:rsid w:val="0074505C"/>
    <w:rsid w:val="0075019C"/>
    <w:rsid w:val="00756A18"/>
    <w:rsid w:val="0075783A"/>
    <w:rsid w:val="00766F55"/>
    <w:rsid w:val="00770976"/>
    <w:rsid w:val="0077253C"/>
    <w:rsid w:val="00781C25"/>
    <w:rsid w:val="0078318F"/>
    <w:rsid w:val="00783E97"/>
    <w:rsid w:val="00784E1D"/>
    <w:rsid w:val="00785883"/>
    <w:rsid w:val="00790919"/>
    <w:rsid w:val="0079625D"/>
    <w:rsid w:val="007A0EED"/>
    <w:rsid w:val="007B47B9"/>
    <w:rsid w:val="007C31BD"/>
    <w:rsid w:val="007C5F60"/>
    <w:rsid w:val="007C7F28"/>
    <w:rsid w:val="007D4104"/>
    <w:rsid w:val="007E78BD"/>
    <w:rsid w:val="00812F72"/>
    <w:rsid w:val="0081358F"/>
    <w:rsid w:val="008202F0"/>
    <w:rsid w:val="008269E1"/>
    <w:rsid w:val="008459E6"/>
    <w:rsid w:val="00870AE8"/>
    <w:rsid w:val="00875BE8"/>
    <w:rsid w:val="00880D9A"/>
    <w:rsid w:val="00880DA0"/>
    <w:rsid w:val="0088188B"/>
    <w:rsid w:val="008D41C5"/>
    <w:rsid w:val="009009B1"/>
    <w:rsid w:val="009228B8"/>
    <w:rsid w:val="009229B9"/>
    <w:rsid w:val="00924501"/>
    <w:rsid w:val="0094460D"/>
    <w:rsid w:val="00946286"/>
    <w:rsid w:val="009465AE"/>
    <w:rsid w:val="00952193"/>
    <w:rsid w:val="0099352A"/>
    <w:rsid w:val="009B4CE6"/>
    <w:rsid w:val="009F68D9"/>
    <w:rsid w:val="00A03BE9"/>
    <w:rsid w:val="00A051D6"/>
    <w:rsid w:val="00A0793C"/>
    <w:rsid w:val="00A11444"/>
    <w:rsid w:val="00A13ECB"/>
    <w:rsid w:val="00A8004F"/>
    <w:rsid w:val="00A96548"/>
    <w:rsid w:val="00AC09DD"/>
    <w:rsid w:val="00AC3FB4"/>
    <w:rsid w:val="00AD0073"/>
    <w:rsid w:val="00B067C1"/>
    <w:rsid w:val="00B24A30"/>
    <w:rsid w:val="00B2528F"/>
    <w:rsid w:val="00B31DD1"/>
    <w:rsid w:val="00B52197"/>
    <w:rsid w:val="00B5229B"/>
    <w:rsid w:val="00B54861"/>
    <w:rsid w:val="00B6259C"/>
    <w:rsid w:val="00B9591A"/>
    <w:rsid w:val="00BA016C"/>
    <w:rsid w:val="00BA6DBA"/>
    <w:rsid w:val="00BB1FDE"/>
    <w:rsid w:val="00BC186F"/>
    <w:rsid w:val="00BD1E5D"/>
    <w:rsid w:val="00C07487"/>
    <w:rsid w:val="00C137DA"/>
    <w:rsid w:val="00C23545"/>
    <w:rsid w:val="00C30D5D"/>
    <w:rsid w:val="00C47815"/>
    <w:rsid w:val="00C5219C"/>
    <w:rsid w:val="00C56F2E"/>
    <w:rsid w:val="00C64D03"/>
    <w:rsid w:val="00C700D7"/>
    <w:rsid w:val="00C7290D"/>
    <w:rsid w:val="00C83DD4"/>
    <w:rsid w:val="00C85B9A"/>
    <w:rsid w:val="00C952A3"/>
    <w:rsid w:val="00C953F9"/>
    <w:rsid w:val="00CA7083"/>
    <w:rsid w:val="00CF2CC3"/>
    <w:rsid w:val="00CF3BAD"/>
    <w:rsid w:val="00CF4D17"/>
    <w:rsid w:val="00D0039A"/>
    <w:rsid w:val="00D11388"/>
    <w:rsid w:val="00D26294"/>
    <w:rsid w:val="00D378FE"/>
    <w:rsid w:val="00D46F18"/>
    <w:rsid w:val="00D54BCE"/>
    <w:rsid w:val="00D54FD6"/>
    <w:rsid w:val="00D75E9D"/>
    <w:rsid w:val="00DA2ABC"/>
    <w:rsid w:val="00DC376C"/>
    <w:rsid w:val="00DD6EB4"/>
    <w:rsid w:val="00DF0E67"/>
    <w:rsid w:val="00E03779"/>
    <w:rsid w:val="00E04DEA"/>
    <w:rsid w:val="00E355AF"/>
    <w:rsid w:val="00E36DBB"/>
    <w:rsid w:val="00E46227"/>
    <w:rsid w:val="00E47CB1"/>
    <w:rsid w:val="00E5764B"/>
    <w:rsid w:val="00E96315"/>
    <w:rsid w:val="00EC320F"/>
    <w:rsid w:val="00ED09F5"/>
    <w:rsid w:val="00ED75D5"/>
    <w:rsid w:val="00EF4801"/>
    <w:rsid w:val="00EF5CC9"/>
    <w:rsid w:val="00F24483"/>
    <w:rsid w:val="00F259CF"/>
    <w:rsid w:val="00F2649B"/>
    <w:rsid w:val="00F3510D"/>
    <w:rsid w:val="00F6074A"/>
    <w:rsid w:val="00F750FE"/>
    <w:rsid w:val="00F86485"/>
    <w:rsid w:val="00F9081F"/>
    <w:rsid w:val="00FA7664"/>
    <w:rsid w:val="00FD2BD6"/>
    <w:rsid w:val="00FD7BFB"/>
    <w:rsid w:val="00FE4DC2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61A98"/>
  <w15:chartTrackingRefBased/>
  <w15:docId w15:val="{4019E28D-85D2-4AE2-8342-EB6114B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D"/>
    <w:pPr>
      <w:ind w:left="720"/>
      <w:contextualSpacing/>
    </w:pPr>
  </w:style>
  <w:style w:type="paragraph" w:styleId="NoSpacing">
    <w:name w:val="No Spacing"/>
    <w:uiPriority w:val="1"/>
    <w:qFormat/>
    <w:rsid w:val="00FA76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0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3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4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9"/>
  </w:style>
  <w:style w:type="paragraph" w:styleId="Footer">
    <w:name w:val="footer"/>
    <w:basedOn w:val="Normal"/>
    <w:link w:val="FooterChar"/>
    <w:uiPriority w:val="99"/>
    <w:unhideWhenUsed/>
    <w:rsid w:val="00E0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nsensus.org/work-groups/slaw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rcgis.com/home/item.html?id=a95ec71cc0a5475e8e05bfe056bdbd3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.usda.gov/project/?project=565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erranevada.ca.gov/wp-content/uploads/sites/326/2021/10/TCSI-AssessmentOfCurrentConditions.pdf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ice.ucdavis.edu/project/landscape_management_unit_lmu_tool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5316-3F78-4436-A31B-9BB4E635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42</cp:revision>
  <dcterms:created xsi:type="dcterms:W3CDTF">2022-03-09T15:45:00Z</dcterms:created>
  <dcterms:modified xsi:type="dcterms:W3CDTF">2022-03-19T06:04:00Z</dcterms:modified>
</cp:coreProperties>
</file>