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73EC7" w14:textId="041410BB" w:rsidR="0003553F" w:rsidRDefault="0003553F" w:rsidP="0003553F">
      <w:pPr>
        <w:pStyle w:val="Title"/>
      </w:pPr>
      <w:bookmarkStart w:id="0" w:name="_GoBack"/>
      <w:bookmarkEnd w:id="0"/>
      <w:r>
        <w:t xml:space="preserve"> ACCG | Admin Meeting | </w:t>
      </w:r>
      <w:r w:rsidR="004853FC">
        <w:t>June 8</w:t>
      </w:r>
      <w:r>
        <w:t>, 20</w:t>
      </w:r>
      <w:r w:rsidR="006E4899">
        <w:t>20</w:t>
      </w:r>
    </w:p>
    <w:p w14:paraId="3ED376D4" w14:textId="224748E7" w:rsidR="0003553F" w:rsidRPr="0003553F" w:rsidRDefault="0003553F" w:rsidP="0003553F">
      <w:pPr>
        <w:pStyle w:val="Heading1"/>
      </w:pPr>
      <w:r w:rsidRPr="0003553F">
        <w:t>Action Items</w:t>
      </w:r>
      <w:r w:rsidR="00506B95"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375"/>
        <w:gridCol w:w="2250"/>
      </w:tblGrid>
      <w:tr w:rsidR="00506B95" w14:paraId="2E873AAD" w14:textId="77777777" w:rsidTr="004D1960">
        <w:trPr>
          <w:tblHeader/>
        </w:trPr>
        <w:tc>
          <w:tcPr>
            <w:tcW w:w="7375" w:type="dxa"/>
            <w:shd w:val="clear" w:color="auto" w:fill="A8D08D" w:themeFill="accent6" w:themeFillTint="99"/>
          </w:tcPr>
          <w:p w14:paraId="2C8D5E96" w14:textId="77777777" w:rsidR="00506B95" w:rsidRPr="002B606F" w:rsidRDefault="00506B95" w:rsidP="00302DD7">
            <w:pPr>
              <w:jc w:val="center"/>
              <w:rPr>
                <w:b/>
              </w:rPr>
            </w:pPr>
            <w:r w:rsidRPr="002B606F">
              <w:rPr>
                <w:b/>
              </w:rPr>
              <w:t>Actions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14:paraId="46726B32" w14:textId="77777777" w:rsidR="00506B95" w:rsidRPr="002B606F" w:rsidRDefault="00506B95" w:rsidP="00302DD7">
            <w:pPr>
              <w:jc w:val="center"/>
              <w:rPr>
                <w:b/>
              </w:rPr>
            </w:pPr>
            <w:r w:rsidRPr="002B606F">
              <w:rPr>
                <w:b/>
              </w:rPr>
              <w:t>Responsible Parties</w:t>
            </w:r>
          </w:p>
        </w:tc>
      </w:tr>
      <w:tr w:rsidR="00A04CBF" w14:paraId="3FCC6ADC" w14:textId="77777777" w:rsidTr="00FD4BD9">
        <w:tc>
          <w:tcPr>
            <w:tcW w:w="7375" w:type="dxa"/>
          </w:tcPr>
          <w:p w14:paraId="67C7D741" w14:textId="01BF4696" w:rsidR="00A04CBF" w:rsidRPr="004A0511" w:rsidRDefault="004A0511" w:rsidP="004A0511">
            <w:p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 w:rsidRPr="004A0511">
              <w:rPr>
                <w:rFonts w:cstheme="minorHAnsi"/>
                <w:b/>
                <w:iCs/>
                <w:shd w:val="clear" w:color="auto" w:fill="FFFFFF"/>
              </w:rPr>
              <w:t>BLM Forest Agreement Committee</w:t>
            </w:r>
            <w:r>
              <w:rPr>
                <w:rFonts w:cstheme="minorHAnsi"/>
                <w:bCs/>
                <w:iCs/>
                <w:shd w:val="clear" w:color="auto" w:fill="FFFFFF"/>
              </w:rPr>
              <w:t>. Request someone to take high-level notes (attendance, topics discussed/outcomes, and next steps)</w:t>
            </w:r>
            <w:r w:rsidR="00694C44">
              <w:rPr>
                <w:rFonts w:cstheme="minorHAnsi"/>
                <w:bCs/>
                <w:iCs/>
                <w:shd w:val="clear" w:color="auto" w:fill="FFFFFF"/>
              </w:rPr>
              <w:t>.</w:t>
            </w:r>
          </w:p>
        </w:tc>
        <w:tc>
          <w:tcPr>
            <w:tcW w:w="2250" w:type="dxa"/>
          </w:tcPr>
          <w:p w14:paraId="7899CFF9" w14:textId="6D68C3FB" w:rsidR="00A04CBF" w:rsidRDefault="00A04CBF" w:rsidP="00FB56CE">
            <w:r>
              <w:t>Regine</w:t>
            </w:r>
          </w:p>
        </w:tc>
      </w:tr>
      <w:tr w:rsidR="00506B95" w14:paraId="0235FEEA" w14:textId="77777777" w:rsidTr="00FD4BD9">
        <w:tc>
          <w:tcPr>
            <w:tcW w:w="7375" w:type="dxa"/>
          </w:tcPr>
          <w:p w14:paraId="12F56E2F" w14:textId="77777777" w:rsidR="00694C44" w:rsidRDefault="00694C44" w:rsidP="00694C44">
            <w:pPr>
              <w:spacing w:after="0"/>
              <w:contextualSpacing/>
              <w:rPr>
                <w:rFonts w:cstheme="minorHAnsi"/>
                <w:b/>
                <w:iCs/>
                <w:shd w:val="clear" w:color="auto" w:fill="FFFFFF"/>
              </w:rPr>
            </w:pPr>
            <w:r>
              <w:rPr>
                <w:rFonts w:cstheme="minorHAnsi"/>
                <w:b/>
                <w:iCs/>
                <w:shd w:val="clear" w:color="auto" w:fill="FFFFFF"/>
              </w:rPr>
              <w:t xml:space="preserve">MOA Revision. </w:t>
            </w:r>
          </w:p>
          <w:p w14:paraId="023F1E70" w14:textId="48529992" w:rsidR="00694C44" w:rsidRDefault="00694C44" w:rsidP="00694C44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>
              <w:rPr>
                <w:rFonts w:cstheme="minorHAnsi"/>
                <w:bCs/>
                <w:iCs/>
                <w:shd w:val="clear" w:color="auto" w:fill="FFFFFF"/>
              </w:rPr>
              <w:t xml:space="preserve">Admin WG will make the recommendation at the next General Meeting that members reaffirm their commitment by signing the revised MOA. Aim to obtain signatures in July. </w:t>
            </w:r>
          </w:p>
          <w:p w14:paraId="6538708E" w14:textId="4E09FC38" w:rsidR="00506B95" w:rsidRPr="00694C44" w:rsidRDefault="0047399C" w:rsidP="00694C44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>
              <w:rPr>
                <w:rFonts w:cstheme="minorHAnsi"/>
                <w:bCs/>
                <w:iCs/>
                <w:shd w:val="clear" w:color="auto" w:fill="FFFFFF"/>
              </w:rPr>
              <w:t>CBI will</w:t>
            </w:r>
            <w:r w:rsidR="00694C44" w:rsidRPr="00694C44">
              <w:rPr>
                <w:rFonts w:cstheme="minorHAnsi"/>
                <w:bCs/>
                <w:iCs/>
                <w:shd w:val="clear" w:color="auto" w:fill="FFFFFF"/>
              </w:rPr>
              <w:t xml:space="preserve"> </w:t>
            </w:r>
            <w:r w:rsidR="00BA22F9">
              <w:rPr>
                <w:rFonts w:cstheme="minorHAnsi"/>
                <w:bCs/>
                <w:iCs/>
                <w:shd w:val="clear" w:color="auto" w:fill="FFFFFF"/>
              </w:rPr>
              <w:t xml:space="preserve">review </w:t>
            </w:r>
            <w:r w:rsidR="00694C44" w:rsidRPr="00694C44">
              <w:rPr>
                <w:rFonts w:cstheme="minorHAnsi"/>
                <w:bCs/>
                <w:iCs/>
                <w:shd w:val="clear" w:color="auto" w:fill="FFFFFF"/>
              </w:rPr>
              <w:t>website and scan past summaries for previous list of MOA signatories (will help identify if targeted outreach is needed for past signatories who have not been actively engaged recently)</w:t>
            </w:r>
          </w:p>
        </w:tc>
        <w:tc>
          <w:tcPr>
            <w:tcW w:w="2250" w:type="dxa"/>
          </w:tcPr>
          <w:p w14:paraId="3C2F6B59" w14:textId="53130E35" w:rsidR="00506B95" w:rsidRDefault="00694C44" w:rsidP="00FB56CE">
            <w:r>
              <w:t>CBI</w:t>
            </w:r>
          </w:p>
        </w:tc>
      </w:tr>
      <w:tr w:rsidR="00A04CBF" w14:paraId="36BEDDD4" w14:textId="77777777" w:rsidTr="00FD4BD9">
        <w:tc>
          <w:tcPr>
            <w:tcW w:w="7375" w:type="dxa"/>
          </w:tcPr>
          <w:p w14:paraId="1D3432D1" w14:textId="77777777" w:rsidR="0047399C" w:rsidRDefault="004A0511" w:rsidP="004A0511">
            <w:pPr>
              <w:spacing w:after="0"/>
              <w:contextualSpacing/>
              <w:rPr>
                <w:rFonts w:cstheme="minorHAnsi"/>
                <w:b/>
                <w:iCs/>
                <w:shd w:val="clear" w:color="auto" w:fill="FFFFFF"/>
              </w:rPr>
            </w:pPr>
            <w:r>
              <w:rPr>
                <w:rFonts w:cstheme="minorHAnsi"/>
                <w:b/>
                <w:iCs/>
                <w:shd w:val="clear" w:color="auto" w:fill="FFFFFF"/>
              </w:rPr>
              <w:t xml:space="preserve">Communication &amp; Engagement Plan. </w:t>
            </w:r>
          </w:p>
          <w:p w14:paraId="2BDB206B" w14:textId="77777777" w:rsidR="00A04CBF" w:rsidRDefault="004A0511" w:rsidP="0047399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 w:rsidRPr="0047399C">
              <w:rPr>
                <w:rFonts w:cstheme="minorHAnsi"/>
                <w:bCs/>
                <w:iCs/>
                <w:shd w:val="clear" w:color="auto" w:fill="FFFFFF"/>
              </w:rPr>
              <w:t xml:space="preserve">Send draft C&amp;E Plan to Admin WG by June 17. Admin WG will have 2 weeks from receipt of draft plan to review. </w:t>
            </w:r>
          </w:p>
          <w:p w14:paraId="2FF05BF0" w14:textId="4812F0EE" w:rsidR="0047399C" w:rsidRPr="0047399C" w:rsidRDefault="0047399C" w:rsidP="0047399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>
              <w:rPr>
                <w:rFonts w:cstheme="minorHAnsi"/>
                <w:bCs/>
                <w:iCs/>
                <w:shd w:val="clear" w:color="auto" w:fill="FFFFFF"/>
              </w:rPr>
              <w:t>Schedule separate zoom meeting to review the draft C&amp;E Plan (early July)</w:t>
            </w:r>
          </w:p>
        </w:tc>
        <w:tc>
          <w:tcPr>
            <w:tcW w:w="2250" w:type="dxa"/>
          </w:tcPr>
          <w:p w14:paraId="3303E041" w14:textId="2B8F559E" w:rsidR="00A04CBF" w:rsidRDefault="00A04CBF" w:rsidP="004A0511">
            <w:r>
              <w:t>CB</w:t>
            </w:r>
            <w:r w:rsidR="004A0511">
              <w:t>I</w:t>
            </w:r>
          </w:p>
        </w:tc>
      </w:tr>
      <w:tr w:rsidR="0047399C" w14:paraId="199B99EC" w14:textId="77777777" w:rsidTr="00FD4BD9">
        <w:tc>
          <w:tcPr>
            <w:tcW w:w="7375" w:type="dxa"/>
          </w:tcPr>
          <w:p w14:paraId="76375B8F" w14:textId="77777777" w:rsidR="0047399C" w:rsidRPr="00694C44" w:rsidRDefault="0047399C" w:rsidP="0047399C">
            <w:p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 w:rsidRPr="00694C44">
              <w:rPr>
                <w:rFonts w:cstheme="minorHAnsi"/>
                <w:b/>
                <w:iCs/>
                <w:shd w:val="clear" w:color="auto" w:fill="FFFFFF"/>
              </w:rPr>
              <w:t xml:space="preserve">Speakers. </w:t>
            </w:r>
          </w:p>
          <w:p w14:paraId="44C07373" w14:textId="77777777" w:rsidR="0047399C" w:rsidRDefault="0047399C" w:rsidP="0047399C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 w:rsidRPr="00694C44">
              <w:rPr>
                <w:rFonts w:cstheme="minorHAnsi"/>
                <w:bCs/>
                <w:iCs/>
                <w:shd w:val="clear" w:color="auto" w:fill="FFFFFF"/>
              </w:rPr>
              <w:t xml:space="preserve">Follow up with Malcolm North to confirm his talking points align with what the ACCG has discussed at the Scottiago Field Trip. </w:t>
            </w:r>
          </w:p>
          <w:p w14:paraId="657F874B" w14:textId="2619D3A0" w:rsidR="0047399C" w:rsidRDefault="0047399C" w:rsidP="0047399C">
            <w:pPr>
              <w:spacing w:after="0"/>
              <w:contextualSpacing/>
              <w:rPr>
                <w:rFonts w:cstheme="minorHAnsi"/>
                <w:b/>
                <w:iCs/>
                <w:shd w:val="clear" w:color="auto" w:fill="FFFFFF"/>
              </w:rPr>
            </w:pPr>
            <w:r>
              <w:rPr>
                <w:rFonts w:cstheme="minorHAnsi"/>
                <w:bCs/>
                <w:iCs/>
                <w:shd w:val="clear" w:color="auto" w:fill="FFFFFF"/>
              </w:rPr>
              <w:t>Send Scottiago Field Trip notes to Marc and Regine. The field trip notes could also serve as background reading for Malcolm’s presentation.</w:t>
            </w:r>
          </w:p>
        </w:tc>
        <w:tc>
          <w:tcPr>
            <w:tcW w:w="2250" w:type="dxa"/>
          </w:tcPr>
          <w:p w14:paraId="68763351" w14:textId="47D87A97" w:rsidR="0047399C" w:rsidRDefault="0047399C" w:rsidP="0047399C">
            <w:r>
              <w:t>Tania</w:t>
            </w:r>
          </w:p>
        </w:tc>
      </w:tr>
      <w:tr w:rsidR="0047399C" w14:paraId="2A955AE7" w14:textId="77777777" w:rsidTr="00FD4BD9">
        <w:tc>
          <w:tcPr>
            <w:tcW w:w="7375" w:type="dxa"/>
          </w:tcPr>
          <w:p w14:paraId="792AF534" w14:textId="190E2869" w:rsidR="0047399C" w:rsidRPr="00D85D8A" w:rsidRDefault="0047399C" w:rsidP="0047399C">
            <w:pPr>
              <w:spacing w:after="0"/>
              <w:contextualSpacing/>
              <w:rPr>
                <w:rFonts w:cstheme="minorHAnsi"/>
                <w:bCs/>
                <w:iCs/>
                <w:shd w:val="clear" w:color="auto" w:fill="FFFFFF"/>
              </w:rPr>
            </w:pPr>
            <w:r>
              <w:rPr>
                <w:rFonts w:cstheme="minorHAnsi"/>
                <w:b/>
                <w:iCs/>
                <w:shd w:val="clear" w:color="auto" w:fill="FFFFFF"/>
              </w:rPr>
              <w:t xml:space="preserve">Increasing Pace and Scale – </w:t>
            </w:r>
            <w:r>
              <w:rPr>
                <w:rFonts w:cstheme="minorHAnsi"/>
                <w:bCs/>
                <w:iCs/>
                <w:shd w:val="clear" w:color="auto" w:fill="FFFFFF"/>
              </w:rPr>
              <w:t xml:space="preserve">Follow up with Tania and Dawn Coultrap for progress update related to ACCG’s approach to increasing pace and scale. </w:t>
            </w:r>
          </w:p>
        </w:tc>
        <w:tc>
          <w:tcPr>
            <w:tcW w:w="2250" w:type="dxa"/>
          </w:tcPr>
          <w:p w14:paraId="000DC042" w14:textId="09811D30" w:rsidR="0047399C" w:rsidRDefault="0047399C" w:rsidP="0047399C">
            <w:r>
              <w:t xml:space="preserve">Ray C </w:t>
            </w:r>
          </w:p>
        </w:tc>
      </w:tr>
    </w:tbl>
    <w:p w14:paraId="7EF2A195" w14:textId="77777777" w:rsidR="0003553F" w:rsidRPr="006B00C7" w:rsidRDefault="0003553F" w:rsidP="0003553F">
      <w:pPr>
        <w:spacing w:after="0" w:line="240" w:lineRule="auto"/>
      </w:pPr>
    </w:p>
    <w:p w14:paraId="78BEDC34" w14:textId="60ADC055" w:rsidR="00D9373E" w:rsidRDefault="008A6DF2" w:rsidP="00911F7C">
      <w:pPr>
        <w:pStyle w:val="Heading1"/>
      </w:pPr>
      <w:r>
        <w:t>Other Next Steps</w:t>
      </w:r>
      <w:r w:rsidR="002C70F2">
        <w:t xml:space="preserve"> / Notes</w:t>
      </w:r>
    </w:p>
    <w:p w14:paraId="3E6D3EC5" w14:textId="6BD9D1C5" w:rsidR="00FB56CE" w:rsidRDefault="00FB56CE" w:rsidP="002B0326">
      <w:pPr>
        <w:pStyle w:val="ListParagraph"/>
        <w:numPr>
          <w:ilvl w:val="0"/>
          <w:numId w:val="6"/>
        </w:numPr>
      </w:pPr>
      <w:r>
        <w:t>Currently holding ACCG meetings remotely for now</w:t>
      </w:r>
      <w:r w:rsidR="004A0511">
        <w:t xml:space="preserve"> through at least </w:t>
      </w:r>
      <w:r w:rsidR="004853FC">
        <w:t xml:space="preserve">through </w:t>
      </w:r>
      <w:r w:rsidR="004A0511">
        <w:t xml:space="preserve">July. In July, the group may consider if/how to hold in-person or hybrid online/in-person meetings with safe social distancing. Some venues may not easily support an in-person format (e.g., West Point location may be too small and has poor internet). </w:t>
      </w:r>
    </w:p>
    <w:p w14:paraId="3A8F1C86" w14:textId="4C188877" w:rsidR="004A0511" w:rsidRDefault="00694C44" w:rsidP="002B0326">
      <w:pPr>
        <w:pStyle w:val="ListParagraph"/>
        <w:numPr>
          <w:ilvl w:val="0"/>
          <w:numId w:val="6"/>
        </w:numPr>
      </w:pPr>
      <w:r>
        <w:t>Monitoring WG may have a draft monitoring plan (per Wildlife Conservation Board grant) to share with the full ACCG in July/August. Monitoring WG can give a clearer sense of the timeline after its upcoming meeting (6/9)</w:t>
      </w:r>
    </w:p>
    <w:p w14:paraId="2D733A0B" w14:textId="5981CE23" w:rsidR="002C70F2" w:rsidRPr="00AC3AEA" w:rsidRDefault="00E545A4" w:rsidP="00E545A4">
      <w:pPr>
        <w:pStyle w:val="Heading1"/>
      </w:pPr>
      <w:r>
        <w:t>Conference Call Participants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616"/>
        <w:gridCol w:w="1711"/>
        <w:gridCol w:w="4673"/>
        <w:gridCol w:w="1350"/>
      </w:tblGrid>
      <w:tr w:rsidR="00E76F71" w:rsidRPr="00E545A4" w14:paraId="6841EE69" w14:textId="77777777" w:rsidTr="00E76F71">
        <w:trPr>
          <w:trHeight w:val="315"/>
        </w:trPr>
        <w:tc>
          <w:tcPr>
            <w:tcW w:w="864" w:type="pct"/>
          </w:tcPr>
          <w:p w14:paraId="643C4C0D" w14:textId="6AAE560F" w:rsidR="00E76F71" w:rsidRPr="00E545A4" w:rsidRDefault="00E76F71" w:rsidP="00E54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First Name</w:t>
            </w:r>
          </w:p>
        </w:tc>
        <w:tc>
          <w:tcPr>
            <w:tcW w:w="915" w:type="pct"/>
          </w:tcPr>
          <w:p w14:paraId="783E717A" w14:textId="24F3A807" w:rsidR="00E76F71" w:rsidRPr="00E545A4" w:rsidRDefault="00E76F71" w:rsidP="00E54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Last Name</w:t>
            </w:r>
          </w:p>
        </w:tc>
        <w:tc>
          <w:tcPr>
            <w:tcW w:w="2499" w:type="pct"/>
          </w:tcPr>
          <w:p w14:paraId="0E943E99" w14:textId="4BE97AC9" w:rsidR="00E76F71" w:rsidRPr="00E545A4" w:rsidRDefault="00E76F71" w:rsidP="00E545A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Affiliation</w:t>
            </w:r>
          </w:p>
        </w:tc>
        <w:tc>
          <w:tcPr>
            <w:tcW w:w="722" w:type="pct"/>
          </w:tcPr>
          <w:p w14:paraId="68322EFF" w14:textId="487A45A9" w:rsidR="00E76F71" w:rsidRPr="00E545A4" w:rsidRDefault="00E76F71" w:rsidP="00E545A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Time (Hours)</w:t>
            </w:r>
          </w:p>
        </w:tc>
      </w:tr>
      <w:tr w:rsidR="00E76F71" w:rsidRPr="00E545A4" w14:paraId="36126A9E" w14:textId="77777777" w:rsidTr="00E76F71">
        <w:trPr>
          <w:trHeight w:val="315"/>
        </w:trPr>
        <w:tc>
          <w:tcPr>
            <w:tcW w:w="864" w:type="pct"/>
            <w:hideMark/>
          </w:tcPr>
          <w:p w14:paraId="2C3AFF72" w14:textId="77777777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Regine</w:t>
            </w:r>
          </w:p>
        </w:tc>
        <w:tc>
          <w:tcPr>
            <w:tcW w:w="915" w:type="pct"/>
            <w:hideMark/>
          </w:tcPr>
          <w:p w14:paraId="6E667C85" w14:textId="77777777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Miller</w:t>
            </w:r>
          </w:p>
        </w:tc>
        <w:tc>
          <w:tcPr>
            <w:tcW w:w="2499" w:type="pct"/>
          </w:tcPr>
          <w:p w14:paraId="3CA5FA41" w14:textId="3CAE325F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Calaveras Healthy Impact Product Solutions</w:t>
            </w:r>
          </w:p>
        </w:tc>
        <w:tc>
          <w:tcPr>
            <w:tcW w:w="722" w:type="pct"/>
          </w:tcPr>
          <w:p w14:paraId="6CC3FECA" w14:textId="3E019E92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9401A8">
              <w:rPr>
                <w:rFonts w:eastAsia="Times New Roman" w:cstheme="minorHAnsi"/>
              </w:rPr>
              <w:t>1</w:t>
            </w:r>
          </w:p>
        </w:tc>
      </w:tr>
      <w:tr w:rsidR="00E76F71" w:rsidRPr="00E545A4" w14:paraId="42D25974" w14:textId="77777777" w:rsidTr="00E76F71">
        <w:trPr>
          <w:trHeight w:val="315"/>
        </w:trPr>
        <w:tc>
          <w:tcPr>
            <w:tcW w:w="864" w:type="pct"/>
            <w:hideMark/>
          </w:tcPr>
          <w:p w14:paraId="7468032F" w14:textId="77777777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Tania</w:t>
            </w:r>
          </w:p>
        </w:tc>
        <w:tc>
          <w:tcPr>
            <w:tcW w:w="915" w:type="pct"/>
            <w:hideMark/>
          </w:tcPr>
          <w:p w14:paraId="554F293E" w14:textId="77777777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Carlone</w:t>
            </w:r>
          </w:p>
        </w:tc>
        <w:tc>
          <w:tcPr>
            <w:tcW w:w="2499" w:type="pct"/>
          </w:tcPr>
          <w:p w14:paraId="760AB572" w14:textId="07EA229A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Consensus Building Institute</w:t>
            </w:r>
          </w:p>
        </w:tc>
        <w:tc>
          <w:tcPr>
            <w:tcW w:w="722" w:type="pct"/>
          </w:tcPr>
          <w:p w14:paraId="58EE2370" w14:textId="62BD591D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9401A8">
              <w:rPr>
                <w:rFonts w:eastAsia="Times New Roman" w:cstheme="minorHAnsi"/>
              </w:rPr>
              <w:t xml:space="preserve">1 </w:t>
            </w:r>
          </w:p>
        </w:tc>
      </w:tr>
      <w:tr w:rsidR="00E76F71" w:rsidRPr="00E545A4" w14:paraId="65D3DF8B" w14:textId="77777777" w:rsidTr="00E76F71">
        <w:trPr>
          <w:trHeight w:val="315"/>
        </w:trPr>
        <w:tc>
          <w:tcPr>
            <w:tcW w:w="864" w:type="pct"/>
            <w:hideMark/>
          </w:tcPr>
          <w:p w14:paraId="1ABE81D9" w14:textId="77777777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lastRenderedPageBreak/>
              <w:t>Stephanie</w:t>
            </w:r>
          </w:p>
        </w:tc>
        <w:tc>
          <w:tcPr>
            <w:tcW w:w="915" w:type="pct"/>
            <w:hideMark/>
          </w:tcPr>
          <w:p w14:paraId="198818FB" w14:textId="77777777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Horii</w:t>
            </w:r>
          </w:p>
        </w:tc>
        <w:tc>
          <w:tcPr>
            <w:tcW w:w="2499" w:type="pct"/>
          </w:tcPr>
          <w:p w14:paraId="0A9B7B5B" w14:textId="3C3E2997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Consensus Building Institute</w:t>
            </w:r>
          </w:p>
        </w:tc>
        <w:tc>
          <w:tcPr>
            <w:tcW w:w="722" w:type="pct"/>
          </w:tcPr>
          <w:p w14:paraId="15332309" w14:textId="38C1218B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9401A8">
              <w:rPr>
                <w:rFonts w:eastAsia="Times New Roman" w:cstheme="minorHAnsi"/>
              </w:rPr>
              <w:t xml:space="preserve">1 </w:t>
            </w:r>
          </w:p>
        </w:tc>
      </w:tr>
      <w:tr w:rsidR="00E76F71" w:rsidRPr="00E545A4" w14:paraId="50711487" w14:textId="77777777" w:rsidTr="00E76F71">
        <w:trPr>
          <w:trHeight w:val="315"/>
        </w:trPr>
        <w:tc>
          <w:tcPr>
            <w:tcW w:w="864" w:type="pct"/>
            <w:hideMark/>
          </w:tcPr>
          <w:p w14:paraId="0C33B815" w14:textId="77777777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Katherine</w:t>
            </w:r>
          </w:p>
        </w:tc>
        <w:tc>
          <w:tcPr>
            <w:tcW w:w="915" w:type="pct"/>
            <w:hideMark/>
          </w:tcPr>
          <w:p w14:paraId="3729B647" w14:textId="77777777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Evatt</w:t>
            </w:r>
          </w:p>
        </w:tc>
        <w:tc>
          <w:tcPr>
            <w:tcW w:w="2499" w:type="pct"/>
          </w:tcPr>
          <w:p w14:paraId="4189B139" w14:textId="37CE66CE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Foothill Conservancy</w:t>
            </w:r>
          </w:p>
        </w:tc>
        <w:tc>
          <w:tcPr>
            <w:tcW w:w="722" w:type="pct"/>
          </w:tcPr>
          <w:p w14:paraId="5642818E" w14:textId="3A8B8F85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9401A8">
              <w:rPr>
                <w:rFonts w:eastAsia="Times New Roman" w:cstheme="minorHAnsi"/>
              </w:rPr>
              <w:t xml:space="preserve">1 </w:t>
            </w:r>
          </w:p>
        </w:tc>
      </w:tr>
      <w:tr w:rsidR="00FB56CE" w:rsidRPr="00E545A4" w14:paraId="24858AAD" w14:textId="77777777" w:rsidTr="00E76F71">
        <w:trPr>
          <w:trHeight w:val="315"/>
        </w:trPr>
        <w:tc>
          <w:tcPr>
            <w:tcW w:w="864" w:type="pct"/>
          </w:tcPr>
          <w:p w14:paraId="0EFC0843" w14:textId="4CBFCE0D" w:rsidR="00FB56CE" w:rsidRPr="00E545A4" w:rsidRDefault="004A0511" w:rsidP="00E76F7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Ray</w:t>
            </w:r>
          </w:p>
        </w:tc>
        <w:tc>
          <w:tcPr>
            <w:tcW w:w="915" w:type="pct"/>
          </w:tcPr>
          <w:p w14:paraId="75D5A3A4" w14:textId="4F24FB85" w:rsidR="00FB56CE" w:rsidRPr="00E545A4" w:rsidRDefault="004A0511" w:rsidP="00E76F7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Cablayan</w:t>
            </w:r>
          </w:p>
        </w:tc>
        <w:tc>
          <w:tcPr>
            <w:tcW w:w="2499" w:type="pct"/>
          </w:tcPr>
          <w:p w14:paraId="1FF3B85A" w14:textId="23FDDD79" w:rsidR="00FB56CE" w:rsidRPr="00E545A4" w:rsidRDefault="00FB56CE" w:rsidP="00E76F7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USFS – </w:t>
            </w:r>
            <w:r w:rsidR="004A0511">
              <w:rPr>
                <w:rFonts w:eastAsia="Times New Roman" w:cstheme="minorHAnsi"/>
              </w:rPr>
              <w:t>Calaveras</w:t>
            </w:r>
            <w:r>
              <w:rPr>
                <w:rFonts w:eastAsia="Times New Roman" w:cstheme="minorHAnsi"/>
              </w:rPr>
              <w:t xml:space="preserve"> Ranger District</w:t>
            </w:r>
          </w:p>
        </w:tc>
        <w:tc>
          <w:tcPr>
            <w:tcW w:w="722" w:type="pct"/>
          </w:tcPr>
          <w:p w14:paraId="63F40C37" w14:textId="01006B2E" w:rsidR="00FB56CE" w:rsidRPr="009401A8" w:rsidRDefault="00FB56CE" w:rsidP="00E76F7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FB56CE" w:rsidRPr="00E545A4" w14:paraId="491DDC03" w14:textId="77777777" w:rsidTr="00E76F71">
        <w:trPr>
          <w:trHeight w:val="315"/>
        </w:trPr>
        <w:tc>
          <w:tcPr>
            <w:tcW w:w="864" w:type="pct"/>
          </w:tcPr>
          <w:p w14:paraId="7A8AFCC0" w14:textId="1F37D89D" w:rsidR="00FB56CE" w:rsidRPr="00E545A4" w:rsidRDefault="004A0511" w:rsidP="00E76F7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Marc</w:t>
            </w:r>
          </w:p>
        </w:tc>
        <w:tc>
          <w:tcPr>
            <w:tcW w:w="915" w:type="pct"/>
          </w:tcPr>
          <w:p w14:paraId="410F50C1" w14:textId="5C0D2099" w:rsidR="00FB56CE" w:rsidRPr="00E545A4" w:rsidRDefault="004A0511" w:rsidP="00E76F7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Young</w:t>
            </w:r>
          </w:p>
        </w:tc>
        <w:tc>
          <w:tcPr>
            <w:tcW w:w="2499" w:type="pct"/>
          </w:tcPr>
          <w:p w14:paraId="0399D176" w14:textId="77E57649" w:rsidR="00FB56CE" w:rsidRPr="00E545A4" w:rsidRDefault="00FB56CE" w:rsidP="00E76F7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USFS</w:t>
            </w:r>
            <w:r w:rsidR="004A0511">
              <w:rPr>
                <w:rFonts w:eastAsia="Times New Roman" w:cstheme="minorHAnsi"/>
              </w:rPr>
              <w:t xml:space="preserve"> – Amador Ranger District</w:t>
            </w:r>
          </w:p>
        </w:tc>
        <w:tc>
          <w:tcPr>
            <w:tcW w:w="722" w:type="pct"/>
          </w:tcPr>
          <w:p w14:paraId="3F054B13" w14:textId="64393465" w:rsidR="00FB56CE" w:rsidRPr="009401A8" w:rsidRDefault="004A0511" w:rsidP="00E76F7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</w:tbl>
    <w:p w14:paraId="3D2DD53A" w14:textId="77777777" w:rsidR="004F4E72" w:rsidRDefault="00087E0A"/>
    <w:sectPr w:rsidR="004F4E72" w:rsidSect="0013154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FEBDF" w14:textId="77777777" w:rsidR="00087E0A" w:rsidRDefault="00087E0A" w:rsidP="00A34440">
      <w:pPr>
        <w:spacing w:after="0" w:line="240" w:lineRule="auto"/>
      </w:pPr>
      <w:r>
        <w:separator/>
      </w:r>
    </w:p>
  </w:endnote>
  <w:endnote w:type="continuationSeparator" w:id="0">
    <w:p w14:paraId="3BA04C20" w14:textId="77777777" w:rsidR="00087E0A" w:rsidRDefault="00087E0A" w:rsidP="00A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Roman">
    <w:charset w:val="4D"/>
    <w:family w:val="swiss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1178955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5ABC15" w14:textId="4D33F361" w:rsidR="00A34440" w:rsidRDefault="00A34440" w:rsidP="00EB2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2FDDC0" w14:textId="77777777" w:rsidR="00A34440" w:rsidRDefault="00A34440" w:rsidP="00A344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424994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C45AD9" w14:textId="3AE0F049" w:rsidR="00A34440" w:rsidRDefault="00A34440" w:rsidP="00EB2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74AC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518768" w14:textId="77777777" w:rsidR="00A34440" w:rsidRDefault="00A34440" w:rsidP="00A34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B41E5" w14:textId="77777777" w:rsidR="00087E0A" w:rsidRDefault="00087E0A" w:rsidP="00A34440">
      <w:pPr>
        <w:spacing w:after="0" w:line="240" w:lineRule="auto"/>
      </w:pPr>
      <w:r>
        <w:separator/>
      </w:r>
    </w:p>
  </w:footnote>
  <w:footnote w:type="continuationSeparator" w:id="0">
    <w:p w14:paraId="7AEC5045" w14:textId="77777777" w:rsidR="00087E0A" w:rsidRDefault="00087E0A" w:rsidP="00A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D2A"/>
    <w:multiLevelType w:val="hybridMultilevel"/>
    <w:tmpl w:val="43D6ED5C"/>
    <w:lvl w:ilvl="0" w:tplc="0DB2B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7C61"/>
    <w:multiLevelType w:val="hybridMultilevel"/>
    <w:tmpl w:val="8794C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70DF"/>
    <w:multiLevelType w:val="hybridMultilevel"/>
    <w:tmpl w:val="FB8A8B32"/>
    <w:lvl w:ilvl="0" w:tplc="5B649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2165D8"/>
    <w:multiLevelType w:val="hybridMultilevel"/>
    <w:tmpl w:val="C2864964"/>
    <w:lvl w:ilvl="0" w:tplc="5B649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F38EC"/>
    <w:multiLevelType w:val="hybridMultilevel"/>
    <w:tmpl w:val="E378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2E3A34"/>
    <w:multiLevelType w:val="hybridMultilevel"/>
    <w:tmpl w:val="3A369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F40EE"/>
    <w:multiLevelType w:val="multilevel"/>
    <w:tmpl w:val="46D8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667025"/>
    <w:multiLevelType w:val="hybridMultilevel"/>
    <w:tmpl w:val="2B36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082909"/>
    <w:multiLevelType w:val="hybridMultilevel"/>
    <w:tmpl w:val="DB62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0B17"/>
    <w:multiLevelType w:val="hybridMultilevel"/>
    <w:tmpl w:val="2E08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E13D8"/>
    <w:multiLevelType w:val="hybridMultilevel"/>
    <w:tmpl w:val="FBEE7AA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260C47C7"/>
    <w:multiLevelType w:val="hybridMultilevel"/>
    <w:tmpl w:val="C2864964"/>
    <w:lvl w:ilvl="0" w:tplc="5B649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B43A4"/>
    <w:multiLevelType w:val="hybridMultilevel"/>
    <w:tmpl w:val="52E8F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F3699"/>
    <w:multiLevelType w:val="hybridMultilevel"/>
    <w:tmpl w:val="396EBA68"/>
    <w:lvl w:ilvl="0" w:tplc="5B649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45524"/>
    <w:multiLevelType w:val="hybridMultilevel"/>
    <w:tmpl w:val="23E0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7009E"/>
    <w:multiLevelType w:val="hybridMultilevel"/>
    <w:tmpl w:val="D300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66649"/>
    <w:multiLevelType w:val="hybridMultilevel"/>
    <w:tmpl w:val="03400354"/>
    <w:lvl w:ilvl="0" w:tplc="AC2231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D5C74"/>
    <w:multiLevelType w:val="hybridMultilevel"/>
    <w:tmpl w:val="3D463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2129E"/>
    <w:multiLevelType w:val="hybridMultilevel"/>
    <w:tmpl w:val="6ECA92FC"/>
    <w:lvl w:ilvl="0" w:tplc="64AA46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E14BE"/>
    <w:multiLevelType w:val="hybridMultilevel"/>
    <w:tmpl w:val="D6F2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338AA"/>
    <w:multiLevelType w:val="hybridMultilevel"/>
    <w:tmpl w:val="1CCE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B67FFE"/>
    <w:multiLevelType w:val="hybridMultilevel"/>
    <w:tmpl w:val="FD1A7900"/>
    <w:lvl w:ilvl="0" w:tplc="5B649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C49A0"/>
    <w:multiLevelType w:val="hybridMultilevel"/>
    <w:tmpl w:val="387449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EE03F9"/>
    <w:multiLevelType w:val="multilevel"/>
    <w:tmpl w:val="310C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EA13ED"/>
    <w:multiLevelType w:val="hybridMultilevel"/>
    <w:tmpl w:val="1FB2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8F06A4"/>
    <w:multiLevelType w:val="hybridMultilevel"/>
    <w:tmpl w:val="F8E0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77D0A"/>
    <w:multiLevelType w:val="hybridMultilevel"/>
    <w:tmpl w:val="88FA5500"/>
    <w:lvl w:ilvl="0" w:tplc="5B649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D4A68"/>
    <w:multiLevelType w:val="hybridMultilevel"/>
    <w:tmpl w:val="958A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F0784"/>
    <w:multiLevelType w:val="hybridMultilevel"/>
    <w:tmpl w:val="2A14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10"/>
  </w:num>
  <w:num w:numId="5">
    <w:abstractNumId w:val="17"/>
  </w:num>
  <w:num w:numId="6">
    <w:abstractNumId w:val="5"/>
  </w:num>
  <w:num w:numId="7">
    <w:abstractNumId w:val="6"/>
  </w:num>
  <w:num w:numId="8">
    <w:abstractNumId w:val="16"/>
  </w:num>
  <w:num w:numId="9">
    <w:abstractNumId w:val="23"/>
  </w:num>
  <w:num w:numId="10">
    <w:abstractNumId w:val="14"/>
  </w:num>
  <w:num w:numId="11">
    <w:abstractNumId w:val="15"/>
  </w:num>
  <w:num w:numId="12">
    <w:abstractNumId w:val="19"/>
  </w:num>
  <w:num w:numId="13">
    <w:abstractNumId w:val="13"/>
  </w:num>
  <w:num w:numId="14">
    <w:abstractNumId w:val="20"/>
  </w:num>
  <w:num w:numId="15">
    <w:abstractNumId w:val="7"/>
  </w:num>
  <w:num w:numId="16">
    <w:abstractNumId w:val="24"/>
  </w:num>
  <w:num w:numId="17">
    <w:abstractNumId w:val="2"/>
  </w:num>
  <w:num w:numId="18">
    <w:abstractNumId w:val="3"/>
  </w:num>
  <w:num w:numId="19">
    <w:abstractNumId w:val="21"/>
  </w:num>
  <w:num w:numId="20">
    <w:abstractNumId w:val="26"/>
  </w:num>
  <w:num w:numId="21">
    <w:abstractNumId w:val="11"/>
  </w:num>
  <w:num w:numId="22">
    <w:abstractNumId w:val="4"/>
  </w:num>
  <w:num w:numId="23">
    <w:abstractNumId w:val="1"/>
  </w:num>
  <w:num w:numId="24">
    <w:abstractNumId w:val="12"/>
  </w:num>
  <w:num w:numId="25">
    <w:abstractNumId w:val="18"/>
  </w:num>
  <w:num w:numId="26">
    <w:abstractNumId w:val="22"/>
  </w:num>
  <w:num w:numId="27">
    <w:abstractNumId w:val="25"/>
  </w:num>
  <w:num w:numId="28">
    <w:abstractNumId w:val="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3F"/>
    <w:rsid w:val="000326FA"/>
    <w:rsid w:val="0003553F"/>
    <w:rsid w:val="00042B11"/>
    <w:rsid w:val="00056517"/>
    <w:rsid w:val="00087E0A"/>
    <w:rsid w:val="00096C54"/>
    <w:rsid w:val="000F2B32"/>
    <w:rsid w:val="0010570D"/>
    <w:rsid w:val="00126542"/>
    <w:rsid w:val="0013154A"/>
    <w:rsid w:val="001545BC"/>
    <w:rsid w:val="00177D12"/>
    <w:rsid w:val="00181688"/>
    <w:rsid w:val="001A427C"/>
    <w:rsid w:val="001C5A80"/>
    <w:rsid w:val="0022573F"/>
    <w:rsid w:val="00231E24"/>
    <w:rsid w:val="00294884"/>
    <w:rsid w:val="002B0326"/>
    <w:rsid w:val="002C70F2"/>
    <w:rsid w:val="002D129E"/>
    <w:rsid w:val="002D7156"/>
    <w:rsid w:val="0035452E"/>
    <w:rsid w:val="0037562C"/>
    <w:rsid w:val="003C02AC"/>
    <w:rsid w:val="00420C96"/>
    <w:rsid w:val="0044633E"/>
    <w:rsid w:val="004571AE"/>
    <w:rsid w:val="0047399C"/>
    <w:rsid w:val="004853FC"/>
    <w:rsid w:val="004A0511"/>
    <w:rsid w:val="004C416D"/>
    <w:rsid w:val="004C6020"/>
    <w:rsid w:val="004C6C9C"/>
    <w:rsid w:val="004D1960"/>
    <w:rsid w:val="004D46E1"/>
    <w:rsid w:val="00506B95"/>
    <w:rsid w:val="00557B65"/>
    <w:rsid w:val="00593758"/>
    <w:rsid w:val="005B28ED"/>
    <w:rsid w:val="005C26D6"/>
    <w:rsid w:val="005C7FD0"/>
    <w:rsid w:val="0063246E"/>
    <w:rsid w:val="00694C44"/>
    <w:rsid w:val="006C5218"/>
    <w:rsid w:val="006E2927"/>
    <w:rsid w:val="006E3638"/>
    <w:rsid w:val="006E4899"/>
    <w:rsid w:val="006F5701"/>
    <w:rsid w:val="00782CCB"/>
    <w:rsid w:val="0079279F"/>
    <w:rsid w:val="007C7296"/>
    <w:rsid w:val="008024B4"/>
    <w:rsid w:val="008A5B1C"/>
    <w:rsid w:val="008A6DF2"/>
    <w:rsid w:val="008E3663"/>
    <w:rsid w:val="00900EF0"/>
    <w:rsid w:val="00911F7C"/>
    <w:rsid w:val="00937522"/>
    <w:rsid w:val="00974AC4"/>
    <w:rsid w:val="009E594D"/>
    <w:rsid w:val="00A04CBF"/>
    <w:rsid w:val="00A2204D"/>
    <w:rsid w:val="00A34440"/>
    <w:rsid w:val="00AC3AEA"/>
    <w:rsid w:val="00AF1370"/>
    <w:rsid w:val="00B20D90"/>
    <w:rsid w:val="00B50871"/>
    <w:rsid w:val="00B60E5D"/>
    <w:rsid w:val="00BA22F9"/>
    <w:rsid w:val="00BE1AAB"/>
    <w:rsid w:val="00BE3667"/>
    <w:rsid w:val="00C76D6E"/>
    <w:rsid w:val="00CC180A"/>
    <w:rsid w:val="00CC18CD"/>
    <w:rsid w:val="00D36E67"/>
    <w:rsid w:val="00D71E11"/>
    <w:rsid w:val="00D85D8A"/>
    <w:rsid w:val="00D9373E"/>
    <w:rsid w:val="00DA19EB"/>
    <w:rsid w:val="00DA591D"/>
    <w:rsid w:val="00DC499A"/>
    <w:rsid w:val="00DC5D0C"/>
    <w:rsid w:val="00DD1C80"/>
    <w:rsid w:val="00DD3213"/>
    <w:rsid w:val="00DD7365"/>
    <w:rsid w:val="00DE5CB8"/>
    <w:rsid w:val="00E03D5A"/>
    <w:rsid w:val="00E44752"/>
    <w:rsid w:val="00E545A4"/>
    <w:rsid w:val="00E65926"/>
    <w:rsid w:val="00E76D77"/>
    <w:rsid w:val="00E76F71"/>
    <w:rsid w:val="00E82001"/>
    <w:rsid w:val="00F26A6E"/>
    <w:rsid w:val="00F5605C"/>
    <w:rsid w:val="00FB22A4"/>
    <w:rsid w:val="00FB56CE"/>
    <w:rsid w:val="00FC4C4B"/>
    <w:rsid w:val="00FD4BD9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0BCB"/>
  <w15:chartTrackingRefBased/>
  <w15:docId w15:val="{2F375E50-EED3-4B4E-88B9-A7311F9B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Open Sans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3F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553F"/>
    <w:pPr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E2927"/>
    <w:pPr>
      <w:outlineLvl w:val="1"/>
    </w:pPr>
    <w:rPr>
      <w:b/>
      <w:color w:val="A8B340"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D7365"/>
    <w:pPr>
      <w:keepNext/>
      <w:keepLines/>
      <w:spacing w:before="120"/>
      <w:outlineLvl w:val="2"/>
    </w:pPr>
    <w:rPr>
      <w:rFonts w:ascii="Verdana" w:eastAsiaTheme="minorEastAsia" w:hAnsi="Verdana" w:cs="Cordia New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6C5218"/>
    <w:pPr>
      <w:keepNext/>
      <w:keepLines/>
      <w:spacing w:before="240" w:after="40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link w:val="Heading5Char"/>
    <w:autoRedefine/>
    <w:qFormat/>
    <w:rsid w:val="006C5218"/>
    <w:pPr>
      <w:keepNext/>
      <w:keepLines/>
      <w:spacing w:before="220" w:after="40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C5218"/>
    <w:rPr>
      <w:color w:val="0070C0"/>
      <w:u w:val="single"/>
    </w:rPr>
  </w:style>
  <w:style w:type="character" w:customStyle="1" w:styleId="Heading3Char">
    <w:name w:val="Heading 3 Char"/>
    <w:basedOn w:val="DefaultParagraphFont"/>
    <w:link w:val="Heading3"/>
    <w:rsid w:val="00DD7365"/>
    <w:rPr>
      <w:rFonts w:ascii="Verdana" w:eastAsiaTheme="minorEastAsia" w:hAnsi="Verdana" w:cs="Cordia New"/>
      <w:b/>
      <w:color w:val="4472C4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3553F"/>
    <w:rPr>
      <w:rFonts w:eastAsiaTheme="minorHAnsi"/>
      <w:b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E2927"/>
    <w:rPr>
      <w:rFonts w:ascii="Avenir Roman" w:hAnsi="Avenir Roman" w:cs="Open Sans"/>
      <w:b/>
      <w:color w:val="A8B340"/>
      <w:szCs w:val="22"/>
    </w:rPr>
  </w:style>
  <w:style w:type="character" w:customStyle="1" w:styleId="Heading4Char">
    <w:name w:val="Heading 4 Char"/>
    <w:basedOn w:val="DefaultParagraphFont"/>
    <w:link w:val="Heading4"/>
    <w:rsid w:val="006C5218"/>
    <w:rPr>
      <w:rFonts w:ascii="Verdana" w:eastAsia="Trebuchet MS" w:hAnsi="Verdana" w:cs="Trebuchet MS"/>
      <w:b/>
    </w:rPr>
  </w:style>
  <w:style w:type="character" w:customStyle="1" w:styleId="Heading5Char">
    <w:name w:val="Heading 5 Char"/>
    <w:basedOn w:val="DefaultParagraphFont"/>
    <w:link w:val="Heading5"/>
    <w:rsid w:val="006C5218"/>
    <w:rPr>
      <w:rFonts w:asciiTheme="majorHAnsi" w:eastAsia="Trebuchet MS" w:hAnsiTheme="majorHAnsi" w:cs="Trebuchet MS"/>
      <w:b/>
      <w:sz w:val="22"/>
      <w:szCs w:val="22"/>
    </w:rPr>
  </w:style>
  <w:style w:type="paragraph" w:customStyle="1" w:styleId="SOFAR">
    <w:name w:val="SOFAR"/>
    <w:basedOn w:val="Normal"/>
    <w:autoRedefine/>
    <w:qFormat/>
    <w:rsid w:val="00DD7365"/>
    <w:pPr>
      <w:jc w:val="center"/>
    </w:pPr>
    <w:rPr>
      <w:rFonts w:ascii="Century Gothic" w:eastAsia="Calibri" w:hAnsi="Century Gothic" w:cs="Times New Roman"/>
      <w:color w:val="2F5496" w:themeColor="accent1" w:themeShade="BF"/>
    </w:rPr>
  </w:style>
  <w:style w:type="paragraph" w:styleId="Title">
    <w:name w:val="Title"/>
    <w:aliases w:val="CBI-Title"/>
    <w:basedOn w:val="Normal"/>
    <w:next w:val="Normal"/>
    <w:link w:val="TitleChar"/>
    <w:autoRedefine/>
    <w:uiPriority w:val="10"/>
    <w:qFormat/>
    <w:rsid w:val="006E2927"/>
    <w:pPr>
      <w:shd w:val="clear" w:color="auto" w:fill="6D6D70"/>
    </w:pPr>
    <w:rPr>
      <w:b/>
      <w:color w:val="FFFFFF" w:themeColor="background1"/>
      <w:spacing w:val="20"/>
      <w:sz w:val="40"/>
    </w:rPr>
  </w:style>
  <w:style w:type="character" w:customStyle="1" w:styleId="TitleChar">
    <w:name w:val="Title Char"/>
    <w:aliases w:val="CBI-Title Char"/>
    <w:basedOn w:val="DefaultParagraphFont"/>
    <w:link w:val="Title"/>
    <w:uiPriority w:val="10"/>
    <w:rsid w:val="006E2927"/>
    <w:rPr>
      <w:rFonts w:ascii="Avenir Roman" w:hAnsi="Avenir Roman" w:cs="Open Sans"/>
      <w:b/>
      <w:color w:val="FFFFFF" w:themeColor="background1"/>
      <w:spacing w:val="20"/>
      <w:sz w:val="40"/>
      <w:szCs w:val="22"/>
      <w:shd w:val="clear" w:color="auto" w:fill="6D6D7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E2927"/>
    <w:pPr>
      <w:shd w:val="clear" w:color="auto" w:fill="7ABDD2"/>
    </w:pPr>
    <w:rPr>
      <w:i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2927"/>
    <w:rPr>
      <w:rFonts w:ascii="Avenir Roman" w:hAnsi="Avenir Roman" w:cs="Open Sans"/>
      <w:i/>
      <w:color w:val="FFFFFF" w:themeColor="background1"/>
      <w:sz w:val="28"/>
      <w:szCs w:val="22"/>
      <w:shd w:val="clear" w:color="auto" w:fill="7ABDD2"/>
      <w:lang w:val="en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E2927"/>
    <w:pPr>
      <w:pBdr>
        <w:top w:val="single" w:sz="4" w:space="10" w:color="A8B340"/>
        <w:bottom w:val="single" w:sz="4" w:space="10" w:color="A8B340"/>
      </w:pBdr>
      <w:spacing w:before="360" w:after="360"/>
      <w:ind w:left="864" w:right="864"/>
    </w:pPr>
    <w:rPr>
      <w:i/>
      <w:iCs/>
      <w:color w:val="7ABD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927"/>
    <w:rPr>
      <w:rFonts w:ascii="Avenir Roman" w:hAnsi="Avenir Roman" w:cs="Open Sans"/>
      <w:i/>
      <w:iCs/>
      <w:color w:val="7ABDD2"/>
      <w:sz w:val="22"/>
      <w:szCs w:val="22"/>
      <w:lang w:val="en"/>
    </w:rPr>
  </w:style>
  <w:style w:type="paragraph" w:styleId="ListParagraph">
    <w:name w:val="List Paragraph"/>
    <w:basedOn w:val="Normal"/>
    <w:link w:val="ListParagraphChar"/>
    <w:uiPriority w:val="34"/>
    <w:qFormat/>
    <w:rsid w:val="0003553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3553F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03553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5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3F"/>
    <w:rPr>
      <w:rFonts w:ascii="Times New Roman" w:eastAsiaTheme="minorHAnsi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180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3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4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34440"/>
  </w:style>
  <w:style w:type="character" w:styleId="FollowedHyperlink">
    <w:name w:val="FollowedHyperlink"/>
    <w:basedOn w:val="DefaultParagraphFont"/>
    <w:uiPriority w:val="99"/>
    <w:semiHidden/>
    <w:unhideWhenUsed/>
    <w:rsid w:val="00E4475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11F7C"/>
    <w:rPr>
      <w:rFonts w:eastAsiaTheme="minorHAnsi"/>
      <w:sz w:val="22"/>
      <w:szCs w:val="22"/>
    </w:rPr>
  </w:style>
  <w:style w:type="table" w:styleId="PlainTable2">
    <w:name w:val="Plain Table 2"/>
    <w:basedOn w:val="TableNormal"/>
    <w:uiPriority w:val="42"/>
    <w:rsid w:val="00E54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54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2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E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ED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Horii</dc:creator>
  <cp:keywords/>
  <dc:description/>
  <cp:lastModifiedBy>Regine Miller</cp:lastModifiedBy>
  <cp:revision>2</cp:revision>
  <dcterms:created xsi:type="dcterms:W3CDTF">2020-06-11T12:14:00Z</dcterms:created>
  <dcterms:modified xsi:type="dcterms:W3CDTF">2020-06-11T12:14:00Z</dcterms:modified>
</cp:coreProperties>
</file>