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56B92" w14:textId="6ECF70AC" w:rsidR="00607050" w:rsidRDefault="00E27291" w:rsidP="001E1652">
      <w:pPr>
        <w:pStyle w:val="Heading2"/>
        <w:tabs>
          <w:tab w:val="left" w:pos="5258"/>
        </w:tabs>
        <w:rPr>
          <w:rFonts w:eastAsia="Times New Roman"/>
        </w:rPr>
      </w:pPr>
      <w:bookmarkStart w:id="0" w:name="_GoBack"/>
      <w:bookmarkEnd w:id="0"/>
      <w:r w:rsidRPr="004263E4">
        <w:rPr>
          <w:rFonts w:eastAsia="Times New Roman"/>
          <w:color w:val="385623" w:themeColor="accent6" w:themeShade="80"/>
        </w:rPr>
        <w:t>Purpose Statement</w:t>
      </w:r>
      <w:r w:rsidR="000D64A9">
        <w:rPr>
          <w:rFonts w:eastAsia="Times New Roman"/>
          <w:color w:val="385623" w:themeColor="accent6" w:themeShade="80"/>
        </w:rPr>
        <w:tab/>
      </w:r>
      <w:r w:rsidR="00E03701">
        <w:rPr>
          <w:rFonts w:eastAsia="Times New Roman"/>
        </w:rPr>
        <w:br/>
      </w:r>
    </w:p>
    <w:p w14:paraId="78D69B94" w14:textId="1D2FAD2B" w:rsidR="009E71E7" w:rsidRDefault="00E27291" w:rsidP="000B38C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The purpose of this document is </w:t>
      </w:r>
      <w:r w:rsidR="00A8017F">
        <w:rPr>
          <w:rFonts w:eastAsia="Times New Roman" w:cstheme="minorHAnsi"/>
          <w:color w:val="000000"/>
        </w:rPr>
        <w:t>to help project proponents</w:t>
      </w:r>
      <w:r w:rsidR="00440984">
        <w:rPr>
          <w:rFonts w:eastAsia="Times New Roman" w:cstheme="minorHAnsi"/>
          <w:color w:val="000000"/>
        </w:rPr>
        <w:t xml:space="preserve"> </w:t>
      </w:r>
      <w:r w:rsidR="00000F84">
        <w:rPr>
          <w:rFonts w:eastAsia="Times New Roman" w:cstheme="minorHAnsi"/>
          <w:color w:val="000000"/>
        </w:rPr>
        <w:t xml:space="preserve">anticipate the level of potential controversy associated with proposed </w:t>
      </w:r>
      <w:r w:rsidR="00440984">
        <w:rPr>
          <w:rFonts w:eastAsia="Times New Roman" w:cstheme="minorHAnsi"/>
          <w:color w:val="000000"/>
        </w:rPr>
        <w:t>forest treatments</w:t>
      </w:r>
      <w:r w:rsidR="00A8017F">
        <w:rPr>
          <w:rFonts w:eastAsia="Times New Roman" w:cstheme="minorHAnsi"/>
          <w:color w:val="000000"/>
        </w:rPr>
        <w:t xml:space="preserve">. </w:t>
      </w:r>
      <w:r w:rsidR="00C83532">
        <w:rPr>
          <w:rFonts w:eastAsia="Times New Roman" w:cstheme="minorHAnsi"/>
          <w:color w:val="000000"/>
        </w:rPr>
        <w:t>Understanding the potential level of controversy can help project proponents</w:t>
      </w:r>
      <w:r>
        <w:rPr>
          <w:rFonts w:eastAsia="Times New Roman" w:cstheme="minorHAnsi"/>
          <w:color w:val="000000"/>
        </w:rPr>
        <w:t xml:space="preserve"> </w:t>
      </w:r>
      <w:r w:rsidR="00C83532">
        <w:rPr>
          <w:rFonts w:eastAsia="Times New Roman" w:cstheme="minorHAnsi"/>
          <w:color w:val="000000"/>
        </w:rPr>
        <w:t>prepare</w:t>
      </w:r>
      <w:r>
        <w:rPr>
          <w:rFonts w:eastAsia="Times New Roman" w:cstheme="minorHAnsi"/>
          <w:color w:val="000000"/>
        </w:rPr>
        <w:t xml:space="preserve"> </w:t>
      </w:r>
      <w:r w:rsidR="00C83532">
        <w:rPr>
          <w:rFonts w:eastAsia="Times New Roman" w:cstheme="minorHAnsi"/>
          <w:color w:val="000000"/>
        </w:rPr>
        <w:t xml:space="preserve">a </w:t>
      </w:r>
      <w:r>
        <w:rPr>
          <w:rFonts w:eastAsia="Times New Roman" w:cstheme="minorHAnsi"/>
          <w:color w:val="000000"/>
        </w:rPr>
        <w:t xml:space="preserve">strategy, timeline, and approach </w:t>
      </w:r>
      <w:r w:rsidR="00440984">
        <w:rPr>
          <w:rFonts w:eastAsia="Times New Roman" w:cstheme="minorHAnsi"/>
          <w:color w:val="000000"/>
        </w:rPr>
        <w:t>to promote ACCG consensus</w:t>
      </w:r>
      <w:r w:rsidR="00C83532">
        <w:rPr>
          <w:rFonts w:eastAsia="Times New Roman" w:cstheme="minorHAnsi"/>
          <w:color w:val="000000"/>
        </w:rPr>
        <w:t xml:space="preserve"> in as</w:t>
      </w:r>
      <w:r w:rsidR="00556D74">
        <w:rPr>
          <w:rFonts w:eastAsia="Times New Roman" w:cstheme="minorHAnsi"/>
          <w:color w:val="000000"/>
        </w:rPr>
        <w:t xml:space="preserve"> realistic and</w:t>
      </w:r>
      <w:r w:rsidR="00C83532">
        <w:rPr>
          <w:rFonts w:eastAsia="Times New Roman" w:cstheme="minorHAnsi"/>
          <w:color w:val="000000"/>
        </w:rPr>
        <w:t xml:space="preserve"> expedient a manner as possible. The tool has also been designed to help the</w:t>
      </w:r>
      <w:r>
        <w:rPr>
          <w:rFonts w:eastAsia="Times New Roman" w:cstheme="minorHAnsi"/>
          <w:color w:val="000000"/>
        </w:rPr>
        <w:t xml:space="preserve"> ACCG engage in constructive dialogue </w:t>
      </w:r>
      <w:r w:rsidR="00440984">
        <w:rPr>
          <w:rFonts w:eastAsia="Times New Roman" w:cstheme="minorHAnsi"/>
          <w:color w:val="000000"/>
        </w:rPr>
        <w:t xml:space="preserve">that cultivates </w:t>
      </w:r>
      <w:r>
        <w:rPr>
          <w:rFonts w:eastAsia="Times New Roman" w:cstheme="minorHAnsi"/>
          <w:color w:val="000000"/>
        </w:rPr>
        <w:t xml:space="preserve">mutual understanding, learning, and </w:t>
      </w:r>
      <w:r w:rsidR="00C83532">
        <w:rPr>
          <w:rFonts w:eastAsia="Times New Roman" w:cstheme="minorHAnsi"/>
          <w:color w:val="000000"/>
        </w:rPr>
        <w:t>trust-building</w:t>
      </w:r>
      <w:r>
        <w:rPr>
          <w:rFonts w:eastAsia="Times New Roman" w:cstheme="minorHAnsi"/>
          <w:color w:val="000000"/>
        </w:rPr>
        <w:t xml:space="preserve"> </w:t>
      </w:r>
      <w:r w:rsidR="00556D74">
        <w:rPr>
          <w:rFonts w:eastAsia="Times New Roman" w:cstheme="minorHAnsi"/>
          <w:color w:val="000000"/>
        </w:rPr>
        <w:t>within</w:t>
      </w:r>
      <w:r>
        <w:rPr>
          <w:rFonts w:eastAsia="Times New Roman" w:cstheme="minorHAnsi"/>
          <w:color w:val="000000"/>
        </w:rPr>
        <w:t xml:space="preserve"> the collaborative</w:t>
      </w:r>
      <w:r w:rsidR="009E71E7">
        <w:rPr>
          <w:rFonts w:eastAsia="Times New Roman" w:cstheme="minorHAnsi"/>
          <w:color w:val="000000"/>
        </w:rPr>
        <w:t xml:space="preserve">. </w:t>
      </w:r>
      <w:r w:rsidR="00440984">
        <w:rPr>
          <w:rFonts w:eastAsia="Times New Roman" w:cstheme="minorHAnsi"/>
          <w:color w:val="000000"/>
        </w:rPr>
        <w:t>This document also</w:t>
      </w:r>
      <w:r w:rsidR="00556D74">
        <w:rPr>
          <w:rFonts w:eastAsia="Times New Roman" w:cstheme="minorHAnsi"/>
          <w:color w:val="000000"/>
        </w:rPr>
        <w:t xml:space="preserve"> outlines </w:t>
      </w:r>
      <w:r>
        <w:rPr>
          <w:rFonts w:eastAsia="Times New Roman" w:cstheme="minorHAnsi"/>
          <w:color w:val="000000"/>
        </w:rPr>
        <w:t xml:space="preserve">the protocols and procedures associated with each </w:t>
      </w:r>
      <w:r w:rsidR="00C83532">
        <w:rPr>
          <w:rFonts w:eastAsia="Times New Roman" w:cstheme="minorHAnsi"/>
          <w:color w:val="000000"/>
        </w:rPr>
        <w:t>category.</w:t>
      </w:r>
      <w:r w:rsidR="004C131B">
        <w:rPr>
          <w:rFonts w:eastAsia="Times New Roman" w:cstheme="minorHAnsi"/>
          <w:color w:val="000000"/>
        </w:rPr>
        <w:t xml:space="preserve"> </w:t>
      </w:r>
    </w:p>
    <w:p w14:paraId="25344C3D" w14:textId="77777777" w:rsidR="009E71E7" w:rsidRDefault="009E71E7" w:rsidP="000B38CF">
      <w:pPr>
        <w:rPr>
          <w:rFonts w:eastAsia="Times New Roman" w:cstheme="minorHAnsi"/>
          <w:color w:val="000000"/>
        </w:rPr>
      </w:pPr>
    </w:p>
    <w:p w14:paraId="1EAD3361" w14:textId="0D4CE750" w:rsidR="00040370" w:rsidRDefault="004C131B" w:rsidP="000B38C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Project proponents are encouraged to read the entire document</w:t>
      </w:r>
      <w:r w:rsidR="00E67AE0">
        <w:rPr>
          <w:rFonts w:eastAsia="Times New Roman" w:cstheme="minorHAnsi"/>
          <w:color w:val="000000"/>
        </w:rPr>
        <w:t xml:space="preserve"> and cross-reference </w:t>
      </w:r>
      <w:r w:rsidR="002969BA">
        <w:rPr>
          <w:rFonts w:eastAsia="Times New Roman" w:cstheme="minorHAnsi"/>
          <w:color w:val="000000"/>
        </w:rPr>
        <w:t>interrelated project activities in each category.</w:t>
      </w:r>
      <w:r w:rsidR="00E27291">
        <w:rPr>
          <w:rFonts w:eastAsia="Times New Roman" w:cstheme="minorHAnsi"/>
          <w:color w:val="000000"/>
        </w:rPr>
        <w:t xml:space="preserve"> This document is </w:t>
      </w:r>
      <w:r w:rsidR="009218EE">
        <w:rPr>
          <w:rFonts w:eastAsia="Times New Roman" w:cstheme="minorHAnsi"/>
          <w:color w:val="000000"/>
        </w:rPr>
        <w:t>one</w:t>
      </w:r>
      <w:r w:rsidR="00556D74">
        <w:rPr>
          <w:rFonts w:eastAsia="Times New Roman" w:cstheme="minorHAnsi"/>
          <w:color w:val="000000"/>
        </w:rPr>
        <w:t xml:space="preserve"> component</w:t>
      </w:r>
      <w:r w:rsidR="00E27291">
        <w:rPr>
          <w:rFonts w:eastAsia="Times New Roman" w:cstheme="minorHAnsi"/>
          <w:color w:val="000000"/>
        </w:rPr>
        <w:t xml:space="preserve"> </w:t>
      </w:r>
      <w:r w:rsidR="00556D74">
        <w:rPr>
          <w:rFonts w:eastAsia="Times New Roman" w:cstheme="minorHAnsi"/>
          <w:color w:val="000000"/>
        </w:rPr>
        <w:t>of</w:t>
      </w:r>
      <w:r w:rsidR="00E27291">
        <w:rPr>
          <w:rFonts w:eastAsia="Times New Roman" w:cstheme="minorHAnsi"/>
          <w:color w:val="000000"/>
        </w:rPr>
        <w:t xml:space="preserve"> the ACCG project development and approval package (</w:t>
      </w:r>
      <w:r w:rsidR="00E27291" w:rsidRPr="00607050">
        <w:rPr>
          <w:rFonts w:eastAsia="Times New Roman" w:cstheme="minorHAnsi"/>
          <w:color w:val="000000"/>
          <w:highlight w:val="yellow"/>
        </w:rPr>
        <w:t>link</w:t>
      </w:r>
      <w:r w:rsidR="00E27291">
        <w:rPr>
          <w:rFonts w:eastAsia="Times New Roman" w:cstheme="minorHAnsi"/>
          <w:color w:val="000000"/>
        </w:rPr>
        <w:t>).</w:t>
      </w:r>
      <w:r w:rsidR="00A4618B">
        <w:rPr>
          <w:rFonts w:eastAsia="Times New Roman" w:cstheme="minorHAnsi"/>
          <w:color w:val="000000"/>
        </w:rPr>
        <w:t xml:space="preserve"> </w:t>
      </w:r>
      <w:r w:rsidR="00E67AE0">
        <w:rPr>
          <w:rFonts w:eastAsia="Times New Roman" w:cstheme="minorHAnsi"/>
          <w:color w:val="000000"/>
        </w:rPr>
        <w:t>This document is a living document that will be updated</w:t>
      </w:r>
      <w:r w:rsidR="009E71E7">
        <w:rPr>
          <w:rFonts w:eastAsia="Times New Roman" w:cstheme="minorHAnsi"/>
          <w:color w:val="000000"/>
        </w:rPr>
        <w:t xml:space="preserve"> periodically</w:t>
      </w:r>
      <w:r w:rsidR="00000F84">
        <w:rPr>
          <w:rFonts w:eastAsia="Times New Roman" w:cstheme="minorHAnsi"/>
          <w:color w:val="000000"/>
        </w:rPr>
        <w:t>, as warranted.</w:t>
      </w:r>
    </w:p>
    <w:p w14:paraId="780C69E5" w14:textId="0F476204" w:rsidR="002969BA" w:rsidRDefault="002969BA" w:rsidP="000B38CF">
      <w:pPr>
        <w:rPr>
          <w:rFonts w:eastAsia="Times New Roman" w:cstheme="minorHAnsi"/>
          <w:color w:val="000000"/>
        </w:rPr>
      </w:pPr>
    </w:p>
    <w:p w14:paraId="3083609A" w14:textId="246C4EFC" w:rsidR="00BB515E" w:rsidRPr="00E03701" w:rsidRDefault="002969BA" w:rsidP="00E03701">
      <w:pPr>
        <w:pStyle w:val="Heading2"/>
        <w:rPr>
          <w:rFonts w:eastAsia="Times New Roman"/>
        </w:rPr>
      </w:pPr>
      <w:r w:rsidRPr="004263E4">
        <w:rPr>
          <w:rFonts w:eastAsia="Times New Roman"/>
          <w:color w:val="385623" w:themeColor="accent6" w:themeShade="80"/>
        </w:rPr>
        <w:t>Categories and Protocols at a Glance</w:t>
      </w:r>
      <w:r w:rsidR="00E03701">
        <w:rPr>
          <w:rFonts w:eastAsia="Times New Roman"/>
        </w:rPr>
        <w:br/>
      </w:r>
    </w:p>
    <w:tbl>
      <w:tblPr>
        <w:tblStyle w:val="TableGrid"/>
        <w:tblW w:w="9900" w:type="dxa"/>
        <w:tblInd w:w="895" w:type="dxa"/>
        <w:tblLook w:val="04A0" w:firstRow="1" w:lastRow="0" w:firstColumn="1" w:lastColumn="0" w:noHBand="0" w:noVBand="1"/>
      </w:tblPr>
      <w:tblGrid>
        <w:gridCol w:w="9900"/>
      </w:tblGrid>
      <w:tr w:rsidR="002969BA" w14:paraId="08513E92" w14:textId="77777777" w:rsidTr="001E1652">
        <w:trPr>
          <w:trHeight w:val="304"/>
        </w:trPr>
        <w:tc>
          <w:tcPr>
            <w:tcW w:w="9900" w:type="dxa"/>
            <w:shd w:val="clear" w:color="auto" w:fill="auto"/>
          </w:tcPr>
          <w:p w14:paraId="1C625851" w14:textId="7C184251" w:rsidR="002969BA" w:rsidRDefault="002969BA" w:rsidP="000B38CF">
            <w:pPr>
              <w:rPr>
                <w:rFonts w:eastAsia="Times New Roman" w:cstheme="minorHAnsi"/>
                <w:color w:val="000000"/>
              </w:rPr>
            </w:pPr>
            <w:r w:rsidRPr="00607050">
              <w:rPr>
                <w:rFonts w:eastAsia="Times New Roman" w:cstheme="minorHAnsi"/>
                <w:b/>
                <w:color w:val="000000"/>
              </w:rPr>
              <w:t xml:space="preserve">Category 1: 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>Non-</w:t>
            </w:r>
            <w:r w:rsidR="00D06579">
              <w:rPr>
                <w:rFonts w:eastAsia="Times New Roman" w:cstheme="minorHAnsi"/>
                <w:b/>
                <w:i/>
                <w:color w:val="000000"/>
              </w:rPr>
              <w:t>C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>ontroversial</w:t>
            </w:r>
            <w:r>
              <w:rPr>
                <w:rFonts w:eastAsia="Times New Roman" w:cstheme="minorHAnsi"/>
                <w:color w:val="000000"/>
              </w:rPr>
              <w:t xml:space="preserve"> project activities are </w:t>
            </w:r>
            <w:r w:rsidR="00BB515E">
              <w:rPr>
                <w:rFonts w:eastAsia="Times New Roman" w:cstheme="minorHAnsi"/>
                <w:color w:val="000000"/>
              </w:rPr>
              <w:t>broadly considered non-controversial</w:t>
            </w:r>
            <w:r>
              <w:rPr>
                <w:rFonts w:eastAsia="Times New Roman" w:cstheme="minorHAnsi"/>
                <w:color w:val="000000"/>
              </w:rPr>
              <w:t xml:space="preserve"> by the ACCG and follow an expedited process</w:t>
            </w:r>
            <w:r w:rsidR="00BB515E">
              <w:rPr>
                <w:rFonts w:eastAsia="Times New Roman" w:cstheme="minorHAnsi"/>
                <w:color w:val="000000"/>
              </w:rPr>
              <w:t>.</w:t>
            </w:r>
          </w:p>
          <w:p w14:paraId="1E74F7C0" w14:textId="145F057D" w:rsidR="003755BD" w:rsidRDefault="003755BD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2969BA" w14:paraId="5C607553" w14:textId="77777777" w:rsidTr="001E1652">
        <w:trPr>
          <w:trHeight w:val="289"/>
        </w:trPr>
        <w:tc>
          <w:tcPr>
            <w:tcW w:w="9900" w:type="dxa"/>
            <w:shd w:val="clear" w:color="auto" w:fill="auto"/>
          </w:tcPr>
          <w:p w14:paraId="2F2B2576" w14:textId="417B5B0D" w:rsidR="002969BA" w:rsidRDefault="002969BA" w:rsidP="000B38CF">
            <w:pPr>
              <w:rPr>
                <w:rFonts w:eastAsia="Times New Roman" w:cstheme="minorHAnsi"/>
                <w:color w:val="000000"/>
              </w:rPr>
            </w:pPr>
            <w:r w:rsidRPr="00607050">
              <w:rPr>
                <w:rFonts w:eastAsia="Times New Roman" w:cstheme="minorHAnsi"/>
                <w:b/>
                <w:color w:val="000000"/>
              </w:rPr>
              <w:t xml:space="preserve">Category 2: 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 xml:space="preserve">Moderately </w:t>
            </w:r>
            <w:r w:rsidR="00D06579">
              <w:rPr>
                <w:rFonts w:eastAsia="Times New Roman" w:cstheme="minorHAnsi"/>
                <w:b/>
                <w:i/>
                <w:color w:val="000000"/>
              </w:rPr>
              <w:t>C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 xml:space="preserve">ontroversial </w:t>
            </w:r>
            <w:r>
              <w:rPr>
                <w:rFonts w:eastAsia="Times New Roman" w:cstheme="minorHAnsi"/>
                <w:color w:val="000000"/>
              </w:rPr>
              <w:t>project activities may result in moderate controversy</w:t>
            </w:r>
            <w:r w:rsidR="00BB515E">
              <w:rPr>
                <w:rFonts w:eastAsia="Times New Roman" w:cstheme="minorHAnsi"/>
                <w:color w:val="000000"/>
              </w:rPr>
              <w:t xml:space="preserve"> that could take</w:t>
            </w:r>
            <w:r w:rsidR="005040E5">
              <w:rPr>
                <w:rFonts w:eastAsia="Times New Roman" w:cstheme="minorHAnsi"/>
                <w:color w:val="000000"/>
              </w:rPr>
              <w:t xml:space="preserve"> up to</w:t>
            </w:r>
            <w:r w:rsidR="00BB515E">
              <w:rPr>
                <w:rFonts w:eastAsia="Times New Roman" w:cstheme="minorHAnsi"/>
                <w:color w:val="000000"/>
              </w:rPr>
              <w:t xml:space="preserve"> </w:t>
            </w:r>
            <w:r w:rsidR="005040E5">
              <w:rPr>
                <w:rFonts w:eastAsia="Times New Roman" w:cstheme="minorHAnsi"/>
                <w:color w:val="000000"/>
              </w:rPr>
              <w:t>a few</w:t>
            </w:r>
            <w:r w:rsidR="00BB515E">
              <w:rPr>
                <w:rFonts w:eastAsia="Times New Roman" w:cstheme="minorHAnsi"/>
                <w:color w:val="000000"/>
              </w:rPr>
              <w:t xml:space="preserve"> months</w:t>
            </w:r>
            <w:r w:rsidR="003755BD">
              <w:rPr>
                <w:rFonts w:eastAsia="Times New Roman" w:cstheme="minorHAnsi"/>
                <w:color w:val="000000"/>
              </w:rPr>
              <w:t xml:space="preserve"> of</w:t>
            </w:r>
            <w:r w:rsidR="00BB515E">
              <w:rPr>
                <w:rFonts w:eastAsia="Times New Roman" w:cstheme="minorHAnsi"/>
                <w:color w:val="000000"/>
              </w:rPr>
              <w:t xml:space="preserve"> </w:t>
            </w:r>
            <w:r w:rsidR="00401A66">
              <w:rPr>
                <w:rFonts w:eastAsia="Times New Roman" w:cstheme="minorHAnsi"/>
                <w:color w:val="000000"/>
              </w:rPr>
              <w:t xml:space="preserve">ACCG </w:t>
            </w:r>
            <w:r w:rsidR="00BB515E">
              <w:rPr>
                <w:rFonts w:eastAsia="Times New Roman" w:cstheme="minorHAnsi"/>
                <w:color w:val="000000"/>
              </w:rPr>
              <w:t>engagement</w:t>
            </w:r>
            <w:r w:rsidR="003755BD">
              <w:rPr>
                <w:rFonts w:eastAsia="Times New Roman" w:cstheme="minorHAnsi"/>
                <w:color w:val="000000"/>
              </w:rPr>
              <w:t>.</w:t>
            </w:r>
          </w:p>
          <w:p w14:paraId="2FDA14E6" w14:textId="03E2CEFB" w:rsidR="003755BD" w:rsidRDefault="003755BD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2969BA" w14:paraId="3D9760F9" w14:textId="77777777" w:rsidTr="001E1652">
        <w:trPr>
          <w:trHeight w:val="594"/>
        </w:trPr>
        <w:tc>
          <w:tcPr>
            <w:tcW w:w="9900" w:type="dxa"/>
            <w:shd w:val="clear" w:color="auto" w:fill="auto"/>
          </w:tcPr>
          <w:p w14:paraId="69C36CF3" w14:textId="3460CC0D" w:rsidR="002969BA" w:rsidRDefault="002969BA" w:rsidP="000B38CF">
            <w:pPr>
              <w:rPr>
                <w:rFonts w:eastAsia="Times New Roman" w:cstheme="minorHAnsi"/>
                <w:color w:val="000000"/>
              </w:rPr>
            </w:pPr>
            <w:r w:rsidRPr="00607050">
              <w:rPr>
                <w:rFonts w:eastAsia="Times New Roman" w:cstheme="minorHAnsi"/>
                <w:b/>
                <w:color w:val="000000"/>
              </w:rPr>
              <w:t xml:space="preserve">Category 3: </w:t>
            </w:r>
            <w:r w:rsidR="00EA72B2">
              <w:rPr>
                <w:rFonts w:eastAsia="Times New Roman" w:cstheme="minorHAnsi"/>
                <w:b/>
                <w:i/>
                <w:color w:val="000000"/>
              </w:rPr>
              <w:t>Controversial</w:t>
            </w:r>
            <w:r w:rsidR="00BB515E">
              <w:rPr>
                <w:rFonts w:eastAsia="Times New Roman" w:cstheme="minorHAnsi"/>
                <w:color w:val="000000"/>
              </w:rPr>
              <w:t xml:space="preserve"> project activities are likely to result in significant controversy </w:t>
            </w:r>
            <w:r w:rsidR="003755BD">
              <w:rPr>
                <w:rFonts w:eastAsia="Times New Roman" w:cstheme="minorHAnsi"/>
                <w:color w:val="000000"/>
              </w:rPr>
              <w:t xml:space="preserve">that could take </w:t>
            </w:r>
            <w:r w:rsidR="005040E5">
              <w:rPr>
                <w:rFonts w:eastAsia="Times New Roman" w:cstheme="minorHAnsi"/>
                <w:color w:val="000000"/>
              </w:rPr>
              <w:t>several months to two years</w:t>
            </w:r>
            <w:r w:rsidR="003755BD">
              <w:rPr>
                <w:rFonts w:eastAsia="Times New Roman" w:cstheme="minorHAnsi"/>
                <w:color w:val="000000"/>
              </w:rPr>
              <w:t xml:space="preserve"> of</w:t>
            </w:r>
            <w:r w:rsidR="00401A66">
              <w:rPr>
                <w:rFonts w:eastAsia="Times New Roman" w:cstheme="minorHAnsi"/>
                <w:color w:val="000000"/>
              </w:rPr>
              <w:t xml:space="preserve"> ACCG</w:t>
            </w:r>
            <w:r w:rsidR="003755BD">
              <w:rPr>
                <w:rFonts w:eastAsia="Times New Roman" w:cstheme="minorHAnsi"/>
                <w:color w:val="000000"/>
              </w:rPr>
              <w:t xml:space="preserve"> engagement. </w:t>
            </w:r>
          </w:p>
          <w:p w14:paraId="7B81CCB6" w14:textId="1735106A" w:rsidR="003A1502" w:rsidRDefault="003A1502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</w:tbl>
    <w:p w14:paraId="3B8B7244" w14:textId="77777777" w:rsidR="002969BA" w:rsidRDefault="002969BA" w:rsidP="000B38CF">
      <w:pPr>
        <w:rPr>
          <w:rFonts w:eastAsia="Times New Roman" w:cstheme="minorHAnsi"/>
          <w:color w:val="000000"/>
        </w:rPr>
      </w:pPr>
    </w:p>
    <w:p w14:paraId="3A62FAE1" w14:textId="12B260B4" w:rsidR="002969BA" w:rsidRDefault="00BB515E" w:rsidP="000B38CF">
      <w:p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See below table for a more detailed description of the categories, protocols</w:t>
      </w:r>
      <w:r w:rsidR="00401A66">
        <w:rPr>
          <w:rFonts w:eastAsia="Times New Roman" w:cstheme="minorHAnsi"/>
          <w:color w:val="000000"/>
        </w:rPr>
        <w:t xml:space="preserve">, </w:t>
      </w:r>
      <w:r>
        <w:rPr>
          <w:rFonts w:eastAsia="Times New Roman" w:cstheme="minorHAnsi"/>
          <w:color w:val="000000"/>
        </w:rPr>
        <w:t xml:space="preserve">and detailed project activities. The table further suggests considerations for project proponents and </w:t>
      </w:r>
      <w:r w:rsidR="00BE296A">
        <w:rPr>
          <w:rFonts w:eastAsia="Times New Roman" w:cstheme="minorHAnsi"/>
          <w:color w:val="000000"/>
        </w:rPr>
        <w:t>outlines</w:t>
      </w:r>
      <w:r>
        <w:rPr>
          <w:rFonts w:eastAsia="Times New Roman" w:cstheme="minorHAnsi"/>
          <w:color w:val="000000"/>
        </w:rPr>
        <w:t xml:space="preserve"> procedures for each project category.</w:t>
      </w:r>
    </w:p>
    <w:p w14:paraId="60349A94" w14:textId="5D1AFAA7" w:rsidR="001E1652" w:rsidRDefault="001E1652" w:rsidP="000B38CF">
      <w:pPr>
        <w:rPr>
          <w:rFonts w:eastAsia="Times New Roman" w:cstheme="minorHAnsi"/>
          <w:color w:val="000000"/>
        </w:rPr>
      </w:pPr>
    </w:p>
    <w:p w14:paraId="6F0EBF2B" w14:textId="77777777" w:rsidR="001E1652" w:rsidRDefault="001E1652" w:rsidP="000B38CF">
      <w:pPr>
        <w:rPr>
          <w:rFonts w:eastAsia="Times New Roman" w:cstheme="minorHAnsi"/>
          <w:color w:val="000000"/>
        </w:rPr>
      </w:pPr>
    </w:p>
    <w:p w14:paraId="4C07EE27" w14:textId="67481FC3" w:rsidR="002F17AC" w:rsidRDefault="002F17AC" w:rsidP="000B38CF">
      <w:pPr>
        <w:rPr>
          <w:rFonts w:eastAsia="Times New Roman" w:cstheme="minorHAnsi"/>
          <w:color w:val="000000"/>
        </w:rPr>
      </w:pPr>
    </w:p>
    <w:p w14:paraId="45F1D923" w14:textId="77777777" w:rsidR="00BF3E2A" w:rsidRPr="002F17AC" w:rsidRDefault="00BF3E2A" w:rsidP="002F17AC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665"/>
        <w:gridCol w:w="3420"/>
        <w:gridCol w:w="3865"/>
      </w:tblGrid>
      <w:tr w:rsidR="00056085" w14:paraId="1006DE57" w14:textId="77777777" w:rsidTr="001E1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0DB081AD" w14:textId="0080EFC2" w:rsidR="00056085" w:rsidRPr="00F1083E" w:rsidRDefault="00056085" w:rsidP="000B38CF">
            <w:pPr>
              <w:rPr>
                <w:rFonts w:eastAsia="Times New Roman" w:cstheme="minorHAnsi"/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F1083E">
              <w:rPr>
                <w:rFonts w:eastAsia="Times New Roman" w:cstheme="minorHAnsi"/>
                <w:color w:val="000000"/>
                <w:sz w:val="28"/>
                <w:szCs w:val="28"/>
              </w:rPr>
              <w:lastRenderedPageBreak/>
              <w:t xml:space="preserve">Category 1: </w:t>
            </w:r>
            <w:r w:rsidR="00114D2A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Non-</w:t>
            </w:r>
            <w:r w:rsidR="00D06579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C</w:t>
            </w:r>
            <w:r w:rsidR="00114D2A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ontroversial</w:t>
            </w:r>
          </w:p>
          <w:p w14:paraId="18881364" w14:textId="39B0657E" w:rsidR="00056085" w:rsidRDefault="00056085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Description: </w:t>
            </w:r>
            <w:r w:rsidRPr="00225C6B">
              <w:rPr>
                <w:rFonts w:eastAsia="Times New Roman" w:cstheme="minorHAnsi"/>
                <w:b w:val="0"/>
                <w:color w:val="000000"/>
              </w:rPr>
              <w:t xml:space="preserve">These project actions are broadly supported </w:t>
            </w:r>
            <w:r w:rsidR="006D50CA">
              <w:rPr>
                <w:rFonts w:eastAsia="Times New Roman" w:cstheme="minorHAnsi"/>
                <w:b w:val="0"/>
                <w:color w:val="000000"/>
              </w:rPr>
              <w:t>and are generally considered non-controversial. For projects that clearly fall into this category, project proponents follow an expedited pro</w:t>
            </w:r>
            <w:r w:rsidR="00AD1CA9">
              <w:rPr>
                <w:rFonts w:eastAsia="Times New Roman" w:cstheme="minorHAnsi"/>
                <w:b w:val="0"/>
                <w:color w:val="000000"/>
              </w:rPr>
              <w:t>tocol</w:t>
            </w:r>
            <w:r w:rsidR="006D50CA">
              <w:rPr>
                <w:rFonts w:eastAsia="Times New Roman" w:cstheme="minorHAnsi"/>
                <w:b w:val="0"/>
                <w:color w:val="000000"/>
              </w:rPr>
              <w:t xml:space="preserve"> to seek ACCG support.</w:t>
            </w:r>
          </w:p>
          <w:p w14:paraId="51E9C3BC" w14:textId="5D080A82" w:rsidR="007D7752" w:rsidRDefault="007D7752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56085" w14:paraId="10A13D3C" w14:textId="77777777" w:rsidTr="001E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78A470E4" w14:textId="380EFE6C" w:rsidR="00056085" w:rsidRDefault="00056085" w:rsidP="000B38CF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Protocol: Expedited Process </w:t>
            </w:r>
            <w:r w:rsidR="00F55D45">
              <w:rPr>
                <w:rFonts w:eastAsia="Times New Roman" w:cstheme="minorHAnsi"/>
                <w:color w:val="000000"/>
              </w:rPr>
              <w:t xml:space="preserve">immediately routed to </w:t>
            </w:r>
            <w:r w:rsidR="00225E9E">
              <w:rPr>
                <w:rFonts w:eastAsia="Times New Roman" w:cstheme="minorHAnsi"/>
                <w:color w:val="000000"/>
              </w:rPr>
              <w:t>ACCG General Meetings</w:t>
            </w:r>
            <w:r w:rsidR="00FB152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5F1DADCB" w14:textId="375CA7F7" w:rsidR="007D7752" w:rsidRDefault="007D7752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874075" w14:paraId="60D8430C" w14:textId="77777777" w:rsidTr="00C5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28C5751" w14:textId="38D07A81" w:rsidR="00874075" w:rsidRDefault="00056085" w:rsidP="00056085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Project Activities</w:t>
            </w:r>
          </w:p>
        </w:tc>
        <w:tc>
          <w:tcPr>
            <w:tcW w:w="3420" w:type="dxa"/>
          </w:tcPr>
          <w:p w14:paraId="0CFEA29C" w14:textId="4A8F2367" w:rsidR="00874075" w:rsidRPr="006D50CA" w:rsidRDefault="00056085" w:rsidP="00056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6D50CA">
              <w:rPr>
                <w:rFonts w:eastAsia="Times New Roman" w:cstheme="minorHAnsi"/>
                <w:b/>
                <w:color w:val="000000"/>
              </w:rPr>
              <w:t>Considerations</w:t>
            </w:r>
          </w:p>
        </w:tc>
        <w:tc>
          <w:tcPr>
            <w:tcW w:w="3865" w:type="dxa"/>
          </w:tcPr>
          <w:p w14:paraId="1FB0E89B" w14:textId="635BFE86" w:rsidR="00874075" w:rsidRPr="006D50CA" w:rsidRDefault="00056085" w:rsidP="000560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 w:rsidRPr="006D50CA">
              <w:rPr>
                <w:rFonts w:eastAsia="Times New Roman" w:cstheme="minorHAnsi"/>
                <w:b/>
                <w:color w:val="000000"/>
              </w:rPr>
              <w:t>Procedures</w:t>
            </w:r>
          </w:p>
        </w:tc>
      </w:tr>
      <w:tr w:rsidR="00874075" w14:paraId="3950FF1C" w14:textId="77777777" w:rsidTr="00C5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0ABC2924" w14:textId="77777777" w:rsidR="00874075" w:rsidRPr="00401A66" w:rsidRDefault="0007698E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 w:val="0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Re-routing roads and trails around meadows</w:t>
            </w:r>
          </w:p>
          <w:p w14:paraId="1540DA9C" w14:textId="2489432E" w:rsidR="00864386" w:rsidRPr="00401A66" w:rsidRDefault="00F6593E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Road</w:t>
            </w:r>
            <w:r w:rsidR="0033116A" w:rsidRPr="00401A66">
              <w:rPr>
                <w:rFonts w:cstheme="minorHAnsi"/>
                <w:b w:val="0"/>
                <w:color w:val="000000" w:themeColor="text1"/>
              </w:rPr>
              <w:t xml:space="preserve"> and drainage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maintenance and repairs</w:t>
            </w:r>
            <w:r w:rsidR="0033116A" w:rsidRPr="00401A66">
              <w:rPr>
                <w:rFonts w:cstheme="minorHAnsi"/>
                <w:b w:val="0"/>
                <w:color w:val="000000" w:themeColor="text1"/>
              </w:rPr>
              <w:t xml:space="preserve"> to improve water quality and to provide for fire-fighting access</w:t>
            </w:r>
          </w:p>
          <w:p w14:paraId="7935D5D6" w14:textId="33D11A72" w:rsidR="00864386" w:rsidRPr="00401A66" w:rsidRDefault="00DB34E7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Meadow restoration that does not include removal of legacy</w:t>
            </w:r>
            <w:r w:rsidR="00A16F42">
              <w:rPr>
                <w:rFonts w:cstheme="minorHAnsi"/>
                <w:b w:val="0"/>
                <w:color w:val="000000" w:themeColor="text1"/>
              </w:rPr>
              <w:t>/large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trees</w:t>
            </w:r>
            <w:r w:rsidR="00654A95">
              <w:rPr>
                <w:rFonts w:cstheme="minorHAnsi"/>
                <w:b w:val="0"/>
                <w:color w:val="000000" w:themeColor="text1"/>
              </w:rPr>
              <w:t xml:space="preserve">, </w:t>
            </w:r>
            <w:r w:rsidR="00A65A4A" w:rsidRPr="00401A66">
              <w:rPr>
                <w:rFonts w:cstheme="minorHAnsi"/>
                <w:b w:val="0"/>
                <w:color w:val="000000" w:themeColor="text1"/>
              </w:rPr>
              <w:t>controversial restoration practices such as pond and plug, and special status species</w:t>
            </w:r>
          </w:p>
          <w:p w14:paraId="1D8AE9D0" w14:textId="6F4F3656" w:rsidR="00784345" w:rsidRPr="00401A66" w:rsidRDefault="00784345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Aspen restoration that includes logging trees less than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</w:p>
          <w:p w14:paraId="68894865" w14:textId="14D6DB32" w:rsidR="00DB34E7" w:rsidRPr="00401A66" w:rsidRDefault="00686914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Maintenance and minor </w:t>
            </w:r>
            <w:r w:rsidR="00DB34E7" w:rsidRPr="00401A66">
              <w:rPr>
                <w:rFonts w:cstheme="minorHAnsi"/>
                <w:b w:val="0"/>
                <w:color w:val="000000" w:themeColor="text1"/>
              </w:rPr>
              <w:t>improvements to existing developed facilities</w:t>
            </w:r>
          </w:p>
          <w:p w14:paraId="1ECCB19E" w14:textId="0B29798D" w:rsidR="00DB34E7" w:rsidRPr="00401A66" w:rsidRDefault="002E20D2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Prescribed fire with agency approved</w:t>
            </w:r>
            <w:r w:rsidR="00920EBD" w:rsidRPr="00401A66">
              <w:rPr>
                <w:rFonts w:cstheme="minorHAnsi"/>
                <w:b w:val="0"/>
                <w:color w:val="000000" w:themeColor="text1"/>
              </w:rPr>
              <w:t xml:space="preserve"> burn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plan</w:t>
            </w:r>
          </w:p>
          <w:p w14:paraId="66A619C7" w14:textId="77777777" w:rsidR="00E713B1" w:rsidRPr="001E1652" w:rsidRDefault="006C5DB6" w:rsidP="00E713B1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Hazard tree (trees that impact public health and safety) removal from roadsides and developed sites, </w:t>
            </w:r>
            <w:r w:rsidR="006044D9" w:rsidRPr="00401A66">
              <w:rPr>
                <w:rFonts w:cstheme="minorHAnsi"/>
                <w:b w:val="0"/>
                <w:color w:val="000000" w:themeColor="text1"/>
              </w:rPr>
              <w:t>when consistent with the PSW Region</w:t>
            </w:r>
            <w:r w:rsidR="00095883" w:rsidRPr="00401A66">
              <w:rPr>
                <w:rFonts w:cstheme="minorHAnsi"/>
                <w:b w:val="0"/>
                <w:color w:val="000000" w:themeColor="text1"/>
              </w:rPr>
              <w:t xml:space="preserve"> 5 Hazard Tree Marking Guidelines (2012) </w:t>
            </w:r>
            <w:r w:rsidR="00095883" w:rsidRPr="00BA753E">
              <w:rPr>
                <w:rFonts w:cstheme="minorHAnsi"/>
                <w:b w:val="0"/>
                <w:color w:val="000000" w:themeColor="text1"/>
                <w:highlight w:val="yellow"/>
              </w:rPr>
              <w:t>(link</w:t>
            </w:r>
            <w:r w:rsidR="00E713B1">
              <w:rPr>
                <w:rFonts w:cstheme="minorHAnsi"/>
                <w:b w:val="0"/>
                <w:color w:val="000000" w:themeColor="text1"/>
                <w:highlight w:val="yellow"/>
              </w:rPr>
              <w:t>)</w:t>
            </w:r>
          </w:p>
          <w:p w14:paraId="7B500872" w14:textId="6CAC5296" w:rsidR="00E8170B" w:rsidRPr="00401A66" w:rsidRDefault="00E8170B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Herbicide</w:t>
            </w:r>
            <w:r w:rsidR="0055240D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401A66">
              <w:rPr>
                <w:rFonts w:cstheme="minorHAnsi"/>
                <w:b w:val="0"/>
                <w:color w:val="000000" w:themeColor="text1"/>
              </w:rPr>
              <w:t>use</w:t>
            </w:r>
            <w:r w:rsidR="00BC7657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Pr="00401A66">
              <w:rPr>
                <w:rFonts w:cstheme="minorHAnsi"/>
                <w:b w:val="0"/>
                <w:color w:val="000000" w:themeColor="text1"/>
              </w:rPr>
              <w:t>to treat non-native plants,</w:t>
            </w:r>
            <w:r w:rsidR="00026F24" w:rsidRPr="00401A66">
              <w:rPr>
                <w:rFonts w:cstheme="minorHAnsi"/>
                <w:b w:val="0"/>
                <w:color w:val="000000" w:themeColor="text1"/>
              </w:rPr>
              <w:t xml:space="preserve"> as a temporary treatment, and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not as a long-term</w:t>
            </w:r>
            <w:r w:rsidR="00881D20" w:rsidRPr="00401A66">
              <w:rPr>
                <w:rFonts w:cstheme="minorHAnsi"/>
                <w:b w:val="0"/>
                <w:color w:val="000000" w:themeColor="text1"/>
              </w:rPr>
              <w:t xml:space="preserve"> and/or large</w:t>
            </w:r>
            <w:r w:rsidR="00583F26" w:rsidRPr="00401A66">
              <w:rPr>
                <w:rFonts w:cstheme="minorHAnsi"/>
                <w:b w:val="0"/>
                <w:color w:val="000000" w:themeColor="text1"/>
              </w:rPr>
              <w:t>-</w:t>
            </w:r>
            <w:r w:rsidR="00881D20" w:rsidRPr="00401A66">
              <w:rPr>
                <w:rFonts w:cstheme="minorHAnsi"/>
                <w:b w:val="0"/>
                <w:color w:val="000000" w:themeColor="text1"/>
              </w:rPr>
              <w:t>scale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maintenance strategy</w:t>
            </w:r>
          </w:p>
          <w:p w14:paraId="6983F612" w14:textId="1D6767FB" w:rsidR="0034379B" w:rsidRPr="00401A66" w:rsidRDefault="006C5DB6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Removing </w:t>
            </w:r>
            <w:r w:rsidR="005348DC" w:rsidRPr="00401A66">
              <w:rPr>
                <w:rFonts w:cstheme="minorHAnsi"/>
                <w:b w:val="0"/>
                <w:color w:val="000000" w:themeColor="text1"/>
              </w:rPr>
              <w:t xml:space="preserve">conifers </w:t>
            </w:r>
            <w:r w:rsidRPr="00401A66">
              <w:rPr>
                <w:rFonts w:cstheme="minorHAnsi"/>
                <w:b w:val="0"/>
                <w:color w:val="000000" w:themeColor="text1"/>
              </w:rPr>
              <w:t>less than 16</w:t>
            </w:r>
            <w:r w:rsidR="00DE2F74" w:rsidRPr="00401A66">
              <w:rPr>
                <w:rFonts w:cstheme="minorHAnsi"/>
                <w:b w:val="0"/>
                <w:color w:val="000000" w:themeColor="text1"/>
              </w:rPr>
              <w:t>-20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="0034379B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DE2F74" w:rsidRPr="00401A66">
              <w:rPr>
                <w:rFonts w:cstheme="minorHAnsi"/>
                <w:b w:val="0"/>
                <w:color w:val="000000" w:themeColor="text1"/>
              </w:rPr>
              <w:t>outside of PACs and den buffers</w:t>
            </w:r>
          </w:p>
          <w:p w14:paraId="52119930" w14:textId="3CA0F95F" w:rsidR="00FA079F" w:rsidRPr="00401A66" w:rsidRDefault="00FA079F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Road reconstruction</w:t>
            </w:r>
            <w:r w:rsidR="00FC1C9F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14:paraId="082EB243" w14:textId="372A77A5" w:rsidR="00FA079F" w:rsidRPr="00727C7E" w:rsidRDefault="00FA079F" w:rsidP="00784345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Road decommissioning</w:t>
            </w:r>
          </w:p>
          <w:p w14:paraId="733CB394" w14:textId="77777777" w:rsidR="00727C7E" w:rsidRPr="001E1652" w:rsidRDefault="00727C7E" w:rsidP="001E1652">
            <w:pPr>
              <w:rPr>
                <w:rFonts w:cstheme="minorHAnsi"/>
                <w:color w:val="000000" w:themeColor="text1"/>
              </w:rPr>
            </w:pPr>
          </w:p>
          <w:p w14:paraId="72CD891A" w14:textId="77777777" w:rsidR="00FA079F" w:rsidRPr="00401A66" w:rsidRDefault="00FA079F" w:rsidP="00607050">
            <w:pPr>
              <w:pStyle w:val="ListParagraph"/>
              <w:ind w:left="360"/>
              <w:rPr>
                <w:rFonts w:cstheme="minorHAnsi"/>
                <w:color w:val="000000" w:themeColor="text1"/>
              </w:rPr>
            </w:pPr>
          </w:p>
          <w:p w14:paraId="6390FACD" w14:textId="3E3A27A2" w:rsidR="00397564" w:rsidRPr="00401A66" w:rsidRDefault="00397564" w:rsidP="0034379B">
            <w:pPr>
              <w:rPr>
                <w:color w:val="000000" w:themeColor="text1"/>
              </w:rPr>
            </w:pPr>
          </w:p>
        </w:tc>
        <w:tc>
          <w:tcPr>
            <w:tcW w:w="3420" w:type="dxa"/>
          </w:tcPr>
          <w:p w14:paraId="20FF91F1" w14:textId="5CEBAC97" w:rsidR="00874075" w:rsidRDefault="0007698E" w:rsidP="00076C2E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 xml:space="preserve">Expect at least </w:t>
            </w:r>
            <w:r w:rsidR="00A915C6">
              <w:rPr>
                <w:rFonts w:cstheme="minorHAnsi"/>
                <w:color w:val="000000"/>
              </w:rPr>
              <w:t xml:space="preserve">2-3 </w:t>
            </w:r>
            <w:r>
              <w:rPr>
                <w:rFonts w:cstheme="minorHAnsi"/>
                <w:color w:val="000000"/>
              </w:rPr>
              <w:t>weeks from submission of the project form to receive a signed letter of support from the ACCG.</w:t>
            </w:r>
          </w:p>
          <w:p w14:paraId="645FE9CA" w14:textId="221D8342" w:rsidR="004836AD" w:rsidRPr="00607050" w:rsidRDefault="004836AD" w:rsidP="00607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  <w:p w14:paraId="4BF26356" w14:textId="18233F82" w:rsidR="00AF271F" w:rsidRPr="00607050" w:rsidRDefault="00AF271F" w:rsidP="006070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  <w:tc>
          <w:tcPr>
            <w:tcW w:w="3865" w:type="dxa"/>
          </w:tcPr>
          <w:p w14:paraId="52B6CE86" w14:textId="0208BEB8" w:rsidR="006D50CA" w:rsidRDefault="006D50CA" w:rsidP="006D5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 w:rsidRPr="006D50CA">
              <w:rPr>
                <w:rFonts w:cstheme="minorHAnsi"/>
                <w:color w:val="000000"/>
              </w:rPr>
              <w:t>Complete the Project Support Submission Form</w:t>
            </w:r>
            <w:r>
              <w:rPr>
                <w:rFonts w:cstheme="minorHAnsi"/>
                <w:color w:val="000000"/>
              </w:rPr>
              <w:t xml:space="preserve"> and send to </w:t>
            </w:r>
            <w:r w:rsidR="001B0E03">
              <w:rPr>
                <w:rFonts w:cstheme="minorHAnsi"/>
                <w:color w:val="000000"/>
              </w:rPr>
              <w:t xml:space="preserve">the </w:t>
            </w:r>
            <w:r>
              <w:rPr>
                <w:rFonts w:cstheme="minorHAnsi"/>
                <w:color w:val="000000"/>
              </w:rPr>
              <w:t xml:space="preserve">ACCG Administrator at least </w:t>
            </w:r>
            <w:r w:rsidR="00B12BD1">
              <w:rPr>
                <w:rFonts w:cstheme="minorHAnsi"/>
                <w:color w:val="000000"/>
              </w:rPr>
              <w:t>10 days</w:t>
            </w:r>
            <w:r>
              <w:rPr>
                <w:rFonts w:cstheme="minorHAnsi"/>
                <w:color w:val="000000"/>
              </w:rPr>
              <w:t xml:space="preserve"> before the ACCG General meeting (which occur every third </w:t>
            </w:r>
            <w:r w:rsidR="002523BB">
              <w:rPr>
                <w:rFonts w:cstheme="minorHAnsi"/>
                <w:color w:val="000000"/>
              </w:rPr>
              <w:t xml:space="preserve">Wednesday </w:t>
            </w:r>
            <w:r>
              <w:rPr>
                <w:rFonts w:cstheme="minorHAnsi"/>
                <w:color w:val="000000"/>
              </w:rPr>
              <w:t>of the month except in December).</w:t>
            </w:r>
          </w:p>
          <w:p w14:paraId="622C4C57" w14:textId="6B4FCBED" w:rsidR="006D50CA" w:rsidRDefault="006D50CA" w:rsidP="006D5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The ACCG Administrator will place Category 1 projects on a </w:t>
            </w:r>
            <w:r w:rsidR="00401A66">
              <w:rPr>
                <w:rFonts w:cstheme="minorHAnsi"/>
                <w:color w:val="000000"/>
              </w:rPr>
              <w:t>g</w:t>
            </w:r>
            <w:r>
              <w:rPr>
                <w:rFonts w:cstheme="minorHAnsi"/>
                <w:color w:val="000000"/>
              </w:rPr>
              <w:t>eneral meeting consent calendar</w:t>
            </w:r>
            <w:r w:rsidR="00401A66">
              <w:rPr>
                <w:rFonts w:cstheme="minorHAnsi"/>
                <w:color w:val="000000"/>
              </w:rPr>
              <w:t>.</w:t>
            </w:r>
            <w:r>
              <w:rPr>
                <w:rFonts w:cstheme="minorHAnsi"/>
                <w:color w:val="000000"/>
              </w:rPr>
              <w:t xml:space="preserve"> for ACCG consensus approval. </w:t>
            </w:r>
          </w:p>
          <w:p w14:paraId="739C76FC" w14:textId="19B41B30" w:rsidR="0098206C" w:rsidRDefault="0098206C" w:rsidP="006D50CA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If ACCG determines that any given project doesn’t clearly fall into this category, it would be referred to the Planning WG for review</w:t>
            </w:r>
            <w:r w:rsidR="00FB1520">
              <w:rPr>
                <w:rFonts w:cstheme="minorHAnsi"/>
                <w:color w:val="000000"/>
              </w:rPr>
              <w:t xml:space="preserve"> (as described in Category 2 below)</w:t>
            </w:r>
            <w:r>
              <w:rPr>
                <w:rFonts w:cstheme="minorHAnsi"/>
                <w:color w:val="000000"/>
              </w:rPr>
              <w:t>.</w:t>
            </w:r>
          </w:p>
          <w:p w14:paraId="2CD9C46B" w14:textId="65BB6C08" w:rsidR="006D50CA" w:rsidRPr="006D50CA" w:rsidRDefault="006D50CA" w:rsidP="001B0E03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</w:p>
        </w:tc>
      </w:tr>
      <w:tr w:rsidR="00D75321" w14:paraId="2587D1CB" w14:textId="77777777" w:rsidTr="001E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58FF1C43" w14:textId="69526891" w:rsidR="00D75321" w:rsidRPr="00F1083E" w:rsidRDefault="00D75321" w:rsidP="000B38CF">
            <w:pPr>
              <w:rPr>
                <w:rFonts w:eastAsia="Times New Roman" w:cstheme="minorHAnsi"/>
                <w:b w:val="0"/>
                <w:bCs w:val="0"/>
                <w:i/>
                <w:color w:val="000000"/>
                <w:sz w:val="28"/>
                <w:szCs w:val="28"/>
              </w:rPr>
            </w:pPr>
            <w:r w:rsidRPr="00F1083E">
              <w:rPr>
                <w:rFonts w:eastAsia="Times New Roman" w:cstheme="minorHAnsi"/>
                <w:color w:val="000000"/>
                <w:sz w:val="28"/>
                <w:szCs w:val="28"/>
              </w:rPr>
              <w:t xml:space="preserve">Category 2: </w:t>
            </w:r>
            <w:r w:rsidR="00E736A2">
              <w:rPr>
                <w:rFonts w:eastAsia="Times New Roman" w:cstheme="minorHAnsi"/>
                <w:i/>
                <w:color w:val="000000"/>
                <w:sz w:val="28"/>
                <w:szCs w:val="28"/>
              </w:rPr>
              <w:t>Moderately Controversial</w:t>
            </w:r>
          </w:p>
          <w:p w14:paraId="56C1023B" w14:textId="77777777" w:rsidR="00BB5AE7" w:rsidRDefault="00BB5AE7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 w:rsidRPr="00BB5AE7">
              <w:rPr>
                <w:rFonts w:eastAsia="Times New Roman" w:cstheme="minorHAnsi"/>
                <w:color w:val="000000"/>
              </w:rPr>
              <w:t>Descrip</w:t>
            </w:r>
            <w:r>
              <w:rPr>
                <w:rFonts w:eastAsia="Times New Roman" w:cstheme="minorHAnsi"/>
                <w:color w:val="000000"/>
              </w:rPr>
              <w:t xml:space="preserve">tion: 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These project activities require some discussion and may result in moderate controversy. </w:t>
            </w:r>
          </w:p>
          <w:p w14:paraId="7F9C2D6E" w14:textId="5764F2BC" w:rsidR="000000C8" w:rsidRPr="00BB5AE7" w:rsidRDefault="000000C8" w:rsidP="000B38CF">
            <w:pPr>
              <w:rPr>
                <w:rFonts w:eastAsia="Times New Roman" w:cstheme="minorHAnsi"/>
                <w:b w:val="0"/>
                <w:color w:val="000000"/>
              </w:rPr>
            </w:pPr>
          </w:p>
        </w:tc>
      </w:tr>
      <w:tr w:rsidR="00D75321" w14:paraId="719000C9" w14:textId="77777777" w:rsidTr="001E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12FEE35C" w14:textId="77777777" w:rsidR="00D75321" w:rsidRPr="00AB4BBA" w:rsidRDefault="00C34143" w:rsidP="000B38CF">
            <w:pPr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Protocol: </w:t>
            </w:r>
            <w:r w:rsidR="004C6630" w:rsidRPr="00AB4BBA">
              <w:rPr>
                <w:rFonts w:eastAsia="Times New Roman" w:cstheme="minorHAnsi"/>
                <w:b w:val="0"/>
                <w:color w:val="000000"/>
              </w:rPr>
              <w:t>Discussion</w:t>
            </w:r>
            <w:r w:rsidRPr="00AB4BBA">
              <w:rPr>
                <w:rFonts w:eastAsia="Times New Roman" w:cstheme="minorHAnsi"/>
                <w:b w:val="0"/>
                <w:color w:val="000000"/>
              </w:rPr>
              <w:t xml:space="preserve"> initiated at the Planning Work Group</w:t>
            </w:r>
            <w:r w:rsidR="000C4860" w:rsidRPr="00AB4BBA">
              <w:rPr>
                <w:rFonts w:eastAsia="Times New Roman" w:cstheme="minorHAnsi"/>
                <w:b w:val="0"/>
                <w:color w:val="000000"/>
              </w:rPr>
              <w:t xml:space="preserve"> whose recommendations are </w:t>
            </w:r>
            <w:r w:rsidR="00B86CF6" w:rsidRPr="00AB4BBA">
              <w:rPr>
                <w:rFonts w:eastAsia="Times New Roman" w:cstheme="minorHAnsi"/>
                <w:b w:val="0"/>
                <w:color w:val="000000"/>
              </w:rPr>
              <w:t>sent</w:t>
            </w:r>
            <w:r w:rsidR="000C4860" w:rsidRPr="00AB4BBA">
              <w:rPr>
                <w:rFonts w:eastAsia="Times New Roman" w:cstheme="minorHAnsi"/>
                <w:b w:val="0"/>
                <w:color w:val="000000"/>
              </w:rPr>
              <w:t xml:space="preserve"> to</w:t>
            </w:r>
            <w:r w:rsidR="00B86CF6" w:rsidRPr="00AB4BBA">
              <w:rPr>
                <w:rFonts w:eastAsia="Times New Roman" w:cstheme="minorHAnsi"/>
                <w:b w:val="0"/>
                <w:color w:val="000000"/>
              </w:rPr>
              <w:t xml:space="preserve"> the</w:t>
            </w:r>
            <w:r w:rsidR="000C4860" w:rsidRPr="00AB4BBA">
              <w:rPr>
                <w:rFonts w:eastAsia="Times New Roman" w:cstheme="minorHAnsi"/>
                <w:b w:val="0"/>
                <w:color w:val="000000"/>
              </w:rPr>
              <w:t xml:space="preserve"> full ACCG for concurrence.</w:t>
            </w:r>
          </w:p>
          <w:p w14:paraId="221DF014" w14:textId="28099752" w:rsidR="000000C8" w:rsidRDefault="000000C8" w:rsidP="000B38CF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056085" w14:paraId="2650A1B6" w14:textId="77777777" w:rsidTr="00C5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5FA04C88" w14:textId="7E424C08" w:rsidR="00056085" w:rsidRPr="00401A66" w:rsidRDefault="005412E1" w:rsidP="005412E1">
            <w:pPr>
              <w:jc w:val="center"/>
              <w:rPr>
                <w:rFonts w:eastAsia="Times New Roman" w:cstheme="minorHAnsi"/>
                <w:color w:val="000000" w:themeColor="text1"/>
              </w:rPr>
            </w:pPr>
            <w:r w:rsidRPr="00401A66">
              <w:rPr>
                <w:rFonts w:eastAsia="Times New Roman" w:cstheme="minorHAnsi"/>
                <w:color w:val="000000" w:themeColor="text1"/>
              </w:rPr>
              <w:t>Project Activities</w:t>
            </w:r>
          </w:p>
        </w:tc>
        <w:tc>
          <w:tcPr>
            <w:tcW w:w="3420" w:type="dxa"/>
          </w:tcPr>
          <w:p w14:paraId="23A4F059" w14:textId="064884F8" w:rsidR="00056085" w:rsidRPr="00401A66" w:rsidRDefault="005412E1" w:rsidP="00541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 w:rsidRPr="00401A66">
              <w:rPr>
                <w:rFonts w:eastAsia="Times New Roman" w:cstheme="minorHAnsi"/>
                <w:b/>
                <w:color w:val="000000" w:themeColor="text1"/>
              </w:rPr>
              <w:t>Considerations</w:t>
            </w:r>
          </w:p>
        </w:tc>
        <w:tc>
          <w:tcPr>
            <w:tcW w:w="3865" w:type="dxa"/>
          </w:tcPr>
          <w:p w14:paraId="09A5523D" w14:textId="1742D1F8" w:rsidR="00056085" w:rsidRPr="00401A66" w:rsidRDefault="005412E1" w:rsidP="005412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</w:rPr>
            </w:pPr>
            <w:r w:rsidRPr="00401A66">
              <w:rPr>
                <w:rFonts w:eastAsia="Times New Roman" w:cstheme="minorHAnsi"/>
                <w:b/>
                <w:color w:val="000000" w:themeColor="text1"/>
              </w:rPr>
              <w:t>Procedures</w:t>
            </w:r>
          </w:p>
        </w:tc>
      </w:tr>
      <w:tr w:rsidR="00056085" w14:paraId="01CCEC60" w14:textId="77777777" w:rsidTr="00C5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6AA60761" w14:textId="772E718E" w:rsidR="00952687" w:rsidRPr="00401A66" w:rsidRDefault="00952687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Commercial or non-commercial thinning</w:t>
            </w:r>
            <w:r w:rsidR="0006025E" w:rsidRPr="00401A66">
              <w:rPr>
                <w:rFonts w:cstheme="minorHAnsi"/>
                <w:b w:val="0"/>
                <w:color w:val="000000" w:themeColor="text1"/>
              </w:rPr>
              <w:t xml:space="preserve"> in plantations or green stands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when consistent with forest plan and General Technical Report (GTR) 220</w:t>
            </w:r>
            <w:r w:rsidR="000C0FA5" w:rsidRPr="00401A66">
              <w:rPr>
                <w:rFonts w:cstheme="minorHAnsi"/>
                <w:b w:val="0"/>
                <w:color w:val="000000" w:themeColor="text1"/>
              </w:rPr>
              <w:t xml:space="preserve"> and GTR 237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which </w:t>
            </w:r>
            <w:r w:rsidR="004B2EF5" w:rsidRPr="00401A66">
              <w:rPr>
                <w:rFonts w:cstheme="minorHAnsi"/>
                <w:b w:val="0"/>
                <w:color w:val="000000" w:themeColor="text1"/>
              </w:rPr>
              <w:t xml:space="preserve">would </w:t>
            </w:r>
            <w:r w:rsidRPr="00401A66">
              <w:rPr>
                <w:rFonts w:cstheme="minorHAnsi"/>
                <w:b w:val="0"/>
                <w:color w:val="000000" w:themeColor="text1"/>
              </w:rPr>
              <w:t>result in a fire and disease resilient condition</w:t>
            </w:r>
          </w:p>
          <w:p w14:paraId="0F8F5B16" w14:textId="332A02ED" w:rsidR="00056085" w:rsidRPr="00401A66" w:rsidRDefault="00E40D35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16 to 20”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in key habitat areas like PACS or den buffers</w:t>
            </w:r>
          </w:p>
          <w:p w14:paraId="7B5F96A1" w14:textId="6DBF025B" w:rsidR="00425E0D" w:rsidRPr="00401A66" w:rsidRDefault="00425E0D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20 to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="00892BFA" w:rsidRPr="00401A66">
              <w:rPr>
                <w:rFonts w:cstheme="minorHAnsi"/>
                <w:b w:val="0"/>
                <w:color w:val="000000" w:themeColor="text1"/>
              </w:rPr>
              <w:t xml:space="preserve"> especially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in HRCAs and </w:t>
            </w:r>
            <w:r w:rsidR="00110BB3" w:rsidRPr="00401A66">
              <w:rPr>
                <w:rFonts w:cstheme="minorHAnsi"/>
                <w:b w:val="0"/>
                <w:color w:val="000000" w:themeColor="text1"/>
              </w:rPr>
              <w:t>fisher den buffers</w:t>
            </w:r>
          </w:p>
          <w:p w14:paraId="75FB1737" w14:textId="53CA491B" w:rsidR="00425E0D" w:rsidRPr="00401A66" w:rsidRDefault="007B4CE7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Aspen restoration that includes logging trees greater than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(even if legacy trees are retained)</w:t>
            </w:r>
          </w:p>
          <w:p w14:paraId="4E404C38" w14:textId="2FB29814" w:rsidR="00FD38AC" w:rsidRPr="00401A66" w:rsidRDefault="00FD38AC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Herbicide use near </w:t>
            </w:r>
            <w:r w:rsidR="00FB51F5" w:rsidRPr="00401A66">
              <w:rPr>
                <w:rFonts w:cstheme="minorHAnsi"/>
                <w:b w:val="0"/>
                <w:color w:val="000000" w:themeColor="text1"/>
              </w:rPr>
              <w:t>water sources</w:t>
            </w:r>
            <w:r w:rsidR="001C14E6" w:rsidRPr="00401A66">
              <w:rPr>
                <w:rFonts w:cstheme="minorHAnsi"/>
                <w:b w:val="0"/>
                <w:color w:val="000000" w:themeColor="text1"/>
              </w:rPr>
              <w:t xml:space="preserve"> and other sensitive habitats and species</w:t>
            </w:r>
          </w:p>
          <w:p w14:paraId="13B8D564" w14:textId="1FAFA711" w:rsidR="00AE3F72" w:rsidRPr="00401A66" w:rsidRDefault="00AE3F72" w:rsidP="00AE3F7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Herbicide use for creating or maintaining large fuel breaks </w:t>
            </w:r>
          </w:p>
          <w:p w14:paraId="5FA75EEA" w14:textId="75DE41C3" w:rsidR="00B2347C" w:rsidRPr="00401A66" w:rsidRDefault="001232FC" w:rsidP="006E21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color w:val="000000" w:themeColor="text1"/>
              </w:rPr>
            </w:pPr>
            <w:r w:rsidRPr="00076C2E">
              <w:rPr>
                <w:rFonts w:cstheme="minorHAnsi"/>
                <w:b w:val="0"/>
                <w:color w:val="000000" w:themeColor="text1"/>
              </w:rPr>
              <w:t>Salvage logging</w:t>
            </w:r>
            <w:r w:rsidRPr="00401A66">
              <w:rPr>
                <w:rFonts w:cstheme="minorHAnsi"/>
                <w:color w:val="000000" w:themeColor="text1"/>
              </w:rPr>
              <w:t xml:space="preserve"> </w:t>
            </w:r>
            <w:r w:rsidRPr="00401A66">
              <w:rPr>
                <w:rFonts w:cstheme="minorHAnsi"/>
                <w:b w:val="0"/>
                <w:color w:val="000000" w:themeColor="text1"/>
              </w:rPr>
              <w:t>along roadsides, in strategic fuel breaks, and/or to protect property.</w:t>
            </w:r>
          </w:p>
          <w:p w14:paraId="21F5EB95" w14:textId="31F551E3" w:rsidR="00F05F59" w:rsidRPr="00076C2E" w:rsidRDefault="00F05F59" w:rsidP="006E215E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 w:val="0"/>
                <w:color w:val="000000" w:themeColor="text1"/>
              </w:rPr>
            </w:pPr>
            <w:r w:rsidRPr="00076C2E">
              <w:rPr>
                <w:rFonts w:cstheme="minorHAnsi"/>
                <w:b w:val="0"/>
                <w:color w:val="000000" w:themeColor="text1"/>
              </w:rPr>
              <w:t xml:space="preserve">Reforestation projects </w:t>
            </w:r>
          </w:p>
          <w:p w14:paraId="2DB770E2" w14:textId="129A8DD8" w:rsidR="00AE3F72" w:rsidRPr="00401A66" w:rsidRDefault="00AE3F72" w:rsidP="00607050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</w:tcPr>
          <w:p w14:paraId="149E6F44" w14:textId="703140FA" w:rsidR="00EA1E6B" w:rsidRPr="00076C2E" w:rsidRDefault="00EA1E6B" w:rsidP="00076C2E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076C2E">
              <w:rPr>
                <w:rFonts w:cstheme="minorHAnsi"/>
                <w:color w:val="000000" w:themeColor="text1"/>
              </w:rPr>
              <w:t>Expect a minimum 1-3 months of engagement with ACCG.</w:t>
            </w:r>
          </w:p>
          <w:p w14:paraId="3CA0FD55" w14:textId="31922F1C" w:rsidR="00434AAF" w:rsidRPr="00076C2E" w:rsidRDefault="00434AAF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Consider</w:t>
            </w:r>
            <w:r w:rsidR="007B4CE7" w:rsidRPr="00401A66">
              <w:rPr>
                <w:rFonts w:cstheme="minorHAnsi"/>
                <w:color w:val="000000" w:themeColor="text1"/>
              </w:rPr>
              <w:t xml:space="preserve"> site conditions</w:t>
            </w:r>
            <w:r w:rsidRPr="00401A66">
              <w:rPr>
                <w:rFonts w:cstheme="minorHAnsi"/>
                <w:color w:val="000000" w:themeColor="text1"/>
              </w:rPr>
              <w:t xml:space="preserve"> and resources at risk</w:t>
            </w:r>
            <w:r w:rsidR="00FC7ED4" w:rsidRPr="00401A66">
              <w:rPr>
                <w:rFonts w:cstheme="minorHAnsi"/>
                <w:color w:val="000000" w:themeColor="text1"/>
              </w:rPr>
              <w:t xml:space="preserve">, especially when determining </w:t>
            </w:r>
            <w:r w:rsidR="002D5BB0" w:rsidRPr="00401A66">
              <w:rPr>
                <w:rFonts w:cstheme="minorHAnsi"/>
                <w:color w:val="000000" w:themeColor="text1"/>
              </w:rPr>
              <w:t>the removal of larger trees.</w:t>
            </w:r>
          </w:p>
          <w:p w14:paraId="25E1D5FC" w14:textId="31E9FC44" w:rsidR="0036247C" w:rsidRPr="00401A66" w:rsidRDefault="00076C2E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Project </w:t>
            </w:r>
            <w:r w:rsidR="0036247C" w:rsidRPr="00401A66">
              <w:rPr>
                <w:rFonts w:cstheme="minorHAnsi"/>
                <w:color w:val="000000" w:themeColor="text1"/>
              </w:rPr>
              <w:t xml:space="preserve">activities strive to </w:t>
            </w:r>
            <w:r w:rsidR="00FD38AC" w:rsidRPr="00401A66">
              <w:rPr>
                <w:rFonts w:cstheme="minorHAnsi"/>
                <w:color w:val="000000" w:themeColor="text1"/>
              </w:rPr>
              <w:t>maintain existing and future high</w:t>
            </w:r>
            <w:r w:rsidR="00E77B0D" w:rsidRPr="00401A66">
              <w:rPr>
                <w:rFonts w:cstheme="minorHAnsi"/>
                <w:color w:val="000000" w:themeColor="text1"/>
              </w:rPr>
              <w:t>-</w:t>
            </w:r>
            <w:r w:rsidR="00FD38AC" w:rsidRPr="00401A66">
              <w:rPr>
                <w:rFonts w:cstheme="minorHAnsi"/>
                <w:color w:val="000000" w:themeColor="text1"/>
              </w:rPr>
              <w:t>quality habitat values</w:t>
            </w:r>
            <w:r>
              <w:rPr>
                <w:rFonts w:cstheme="minorHAnsi"/>
                <w:color w:val="000000" w:themeColor="text1"/>
              </w:rPr>
              <w:t>.</w:t>
            </w:r>
          </w:p>
          <w:p w14:paraId="569E62C6" w14:textId="3710458A" w:rsidR="004A150D" w:rsidRPr="00401A66" w:rsidRDefault="001C14E6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For herbicide projects</w:t>
            </w:r>
            <w:r w:rsidR="00076C2E">
              <w:rPr>
                <w:rFonts w:cstheme="minorHAnsi"/>
                <w:color w:val="000000" w:themeColor="text1"/>
              </w:rPr>
              <w:t>,</w:t>
            </w:r>
            <w:r w:rsidRPr="00401A66">
              <w:rPr>
                <w:rFonts w:cstheme="minorHAnsi"/>
                <w:color w:val="000000" w:themeColor="text1"/>
              </w:rPr>
              <w:t xml:space="preserve"> </w:t>
            </w:r>
            <w:r w:rsidR="00076C2E">
              <w:rPr>
                <w:rFonts w:cstheme="minorHAnsi"/>
                <w:color w:val="000000" w:themeColor="text1"/>
              </w:rPr>
              <w:t>consider</w:t>
            </w:r>
            <w:r w:rsidR="002D7031" w:rsidRPr="00401A66">
              <w:rPr>
                <w:rFonts w:cstheme="minorHAnsi"/>
                <w:color w:val="000000" w:themeColor="text1"/>
              </w:rPr>
              <w:t xml:space="preserve"> buffer width</w:t>
            </w:r>
            <w:r w:rsidRPr="00401A66">
              <w:rPr>
                <w:rFonts w:cstheme="minorHAnsi"/>
                <w:color w:val="000000" w:themeColor="text1"/>
              </w:rPr>
              <w:t xml:space="preserve"> and impacts to wildlife.</w:t>
            </w:r>
          </w:p>
          <w:p w14:paraId="5AB908F4" w14:textId="14460BB9" w:rsidR="00541B67" w:rsidRPr="00401A66" w:rsidRDefault="00541B67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These project actions should promote GTR 220 and 237.</w:t>
            </w:r>
          </w:p>
          <w:p w14:paraId="5E3C658A" w14:textId="2E48AE96" w:rsidR="00E662F8" w:rsidRPr="00401A66" w:rsidRDefault="00E662F8" w:rsidP="00076C2E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Reforestation projects should incorporate fire, horizontal and spatial heterogeneity or climate change adaptation.</w:t>
            </w:r>
          </w:p>
          <w:p w14:paraId="717263BE" w14:textId="22F4D6D1" w:rsidR="008371BD" w:rsidRPr="00401A66" w:rsidRDefault="008371BD" w:rsidP="008371BD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  <w:tc>
          <w:tcPr>
            <w:tcW w:w="3865" w:type="dxa"/>
          </w:tcPr>
          <w:p w14:paraId="68C3BACF" w14:textId="3EEBDAAC" w:rsidR="00B4042B" w:rsidRPr="00401A66" w:rsidRDefault="000535D6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Ten days</w:t>
            </w:r>
            <w:r w:rsidR="000E5D2F" w:rsidRPr="00401A66">
              <w:rPr>
                <w:rFonts w:cstheme="minorHAnsi"/>
                <w:color w:val="000000" w:themeColor="text1"/>
              </w:rPr>
              <w:t xml:space="preserve"> prior to Planning meeting, provide relevant project materials to Planning WG lead(s)</w:t>
            </w:r>
            <w:r w:rsidR="00B86CF6" w:rsidRPr="00401A66">
              <w:rPr>
                <w:rFonts w:cstheme="minorHAnsi"/>
                <w:color w:val="000000" w:themeColor="text1"/>
              </w:rPr>
              <w:t>.</w:t>
            </w:r>
          </w:p>
          <w:p w14:paraId="37E2886B" w14:textId="1AD5C315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Present project at Planning meeting.  </w:t>
            </w:r>
          </w:p>
          <w:p w14:paraId="089835F5" w14:textId="77777777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Conduct any follow up activities to address Planning WG concerns or information requests. </w:t>
            </w:r>
          </w:p>
          <w:p w14:paraId="525ABD9D" w14:textId="77777777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If concerns persist, the Planning WG will initiate the conflict resolution process, as described in the ACCG MOA. </w:t>
            </w:r>
          </w:p>
          <w:p w14:paraId="7E29000E" w14:textId="5C17187D" w:rsidR="00B4042B" w:rsidRPr="00401A66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Regardless of the outcome</w:t>
            </w:r>
            <w:r w:rsidR="00FE1290">
              <w:rPr>
                <w:rFonts w:cstheme="minorHAnsi"/>
                <w:color w:val="000000" w:themeColor="text1"/>
              </w:rPr>
              <w:t>s</w:t>
            </w:r>
            <w:r w:rsidRPr="00401A66">
              <w:rPr>
                <w:rFonts w:cstheme="minorHAnsi"/>
                <w:color w:val="000000" w:themeColor="text1"/>
              </w:rPr>
              <w:t xml:space="preserve"> of deliberations, once the Planning WG makes a recommendation on the project, the WG will </w:t>
            </w:r>
            <w:r w:rsidR="00FE1290">
              <w:rPr>
                <w:rFonts w:cstheme="minorHAnsi"/>
                <w:color w:val="000000" w:themeColor="text1"/>
              </w:rPr>
              <w:t xml:space="preserve">refer </w:t>
            </w:r>
            <w:r w:rsidRPr="00401A66">
              <w:rPr>
                <w:rFonts w:cstheme="minorHAnsi"/>
                <w:color w:val="000000" w:themeColor="text1"/>
              </w:rPr>
              <w:t>to the Admin WG to be placed on the ACCG general meeting agenda</w:t>
            </w:r>
            <w:r w:rsidR="00B86CF6" w:rsidRPr="00401A66">
              <w:rPr>
                <w:rFonts w:cstheme="minorHAnsi"/>
                <w:color w:val="000000" w:themeColor="text1"/>
              </w:rPr>
              <w:t>.</w:t>
            </w:r>
          </w:p>
          <w:p w14:paraId="6369AA12" w14:textId="7D135291" w:rsidR="00056085" w:rsidRDefault="000E5D2F" w:rsidP="00B86CF6">
            <w:pPr>
              <w:pStyle w:val="ListParagraph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Individual members may provide support or opposition for any project or aspects of a project. </w:t>
            </w:r>
          </w:p>
          <w:p w14:paraId="695378BD" w14:textId="7BCF46F8" w:rsidR="00FE1290" w:rsidRDefault="00FE1290" w:rsidP="00FE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59E2923A" w14:textId="641097E8" w:rsidR="00FE1290" w:rsidRDefault="00FE1290" w:rsidP="00FE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6BA07B24" w14:textId="77777777" w:rsidR="00FE1290" w:rsidRPr="00FE1290" w:rsidRDefault="00FE1290" w:rsidP="00FE12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4C696177" w14:textId="555971A5" w:rsidR="00524FDA" w:rsidRPr="00401A66" w:rsidRDefault="00524FDA" w:rsidP="00524FDA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7681E" w14:paraId="2346E6CA" w14:textId="77777777" w:rsidTr="001E16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2804AD5F" w14:textId="4142DFCB" w:rsidR="00F7681E" w:rsidRPr="00CB53DF" w:rsidRDefault="00F7681E" w:rsidP="000B38CF">
            <w:pPr>
              <w:rPr>
                <w:rFonts w:eastAsia="Times New Roman" w:cstheme="minorHAnsi"/>
                <w:b w:val="0"/>
                <w:bCs w:val="0"/>
                <w:i/>
                <w:color w:val="000000" w:themeColor="text1"/>
                <w:sz w:val="28"/>
                <w:szCs w:val="28"/>
              </w:rPr>
            </w:pPr>
            <w:r w:rsidRPr="00CB53DF">
              <w:rPr>
                <w:rFonts w:eastAsia="Times New Roman" w:cstheme="minorHAnsi"/>
                <w:color w:val="000000" w:themeColor="text1"/>
                <w:sz w:val="28"/>
                <w:szCs w:val="28"/>
              </w:rPr>
              <w:lastRenderedPageBreak/>
              <w:t xml:space="preserve">Category 3: </w:t>
            </w:r>
            <w:r w:rsidR="00E736A2">
              <w:rPr>
                <w:rFonts w:eastAsia="Times New Roman" w:cstheme="minorHAnsi"/>
                <w:i/>
                <w:color w:val="000000" w:themeColor="text1"/>
                <w:sz w:val="28"/>
                <w:szCs w:val="28"/>
              </w:rPr>
              <w:t>Controversial</w:t>
            </w:r>
          </w:p>
          <w:p w14:paraId="7E6A76B8" w14:textId="5DA6127E" w:rsidR="0005015B" w:rsidRDefault="0005015B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Description: </w:t>
            </w:r>
            <w:r>
              <w:rPr>
                <w:rFonts w:eastAsia="Times New Roman" w:cstheme="minorHAnsi"/>
                <w:b w:val="0"/>
                <w:color w:val="000000"/>
              </w:rPr>
              <w:t xml:space="preserve">These project activities </w:t>
            </w:r>
            <w:r w:rsidR="005B6654">
              <w:rPr>
                <w:rFonts w:eastAsia="Times New Roman" w:cstheme="minorHAnsi"/>
                <w:b w:val="0"/>
                <w:color w:val="000000"/>
              </w:rPr>
              <w:t xml:space="preserve">are likely to </w:t>
            </w:r>
            <w:r>
              <w:rPr>
                <w:rFonts w:eastAsia="Times New Roman" w:cstheme="minorHAnsi"/>
                <w:b w:val="0"/>
                <w:color w:val="000000"/>
              </w:rPr>
              <w:t>result in significant controversy. However, ACCG could ultimately achieve support</w:t>
            </w:r>
            <w:r w:rsidR="005B6654">
              <w:rPr>
                <w:rFonts w:eastAsia="Times New Roman" w:cstheme="minorHAnsi"/>
                <w:b w:val="0"/>
                <w:color w:val="000000"/>
              </w:rPr>
              <w:t xml:space="preserve"> through </w:t>
            </w:r>
            <w:r w:rsidR="00BF6829">
              <w:rPr>
                <w:rFonts w:eastAsia="Times New Roman" w:cstheme="minorHAnsi"/>
                <w:b w:val="0"/>
                <w:color w:val="000000"/>
              </w:rPr>
              <w:t>a negotiated process</w:t>
            </w:r>
            <w:r>
              <w:rPr>
                <w:rFonts w:eastAsia="Times New Roman" w:cstheme="minorHAnsi"/>
                <w:b w:val="0"/>
                <w:color w:val="000000"/>
              </w:rPr>
              <w:t>. Because these actions are more sensitive, the ACCG anticipates needing considerable time to thoroughly discuss, deepen understanding, and find approaches that could achieve consensus support.</w:t>
            </w:r>
          </w:p>
          <w:p w14:paraId="36DBA49D" w14:textId="23D35B83" w:rsidR="00524FDA" w:rsidRPr="00F7681E" w:rsidRDefault="00524FDA" w:rsidP="000B38CF">
            <w:pPr>
              <w:rPr>
                <w:rFonts w:eastAsia="Times New Roman" w:cstheme="minorHAnsi"/>
                <w:i/>
                <w:color w:val="000000" w:themeColor="text1"/>
              </w:rPr>
            </w:pPr>
          </w:p>
        </w:tc>
      </w:tr>
      <w:tr w:rsidR="00F7681E" w14:paraId="19E23A0B" w14:textId="77777777" w:rsidTr="001E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3"/>
            <w:shd w:val="clear" w:color="auto" w:fill="auto"/>
          </w:tcPr>
          <w:p w14:paraId="58DCA5D9" w14:textId="6D70561C" w:rsidR="00F7681E" w:rsidRDefault="0005015B" w:rsidP="000B38CF">
            <w:pPr>
              <w:rPr>
                <w:rFonts w:eastAsia="Times New Roman" w:cstheme="minorHAnsi"/>
                <w:bCs w:val="0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Protocol: </w:t>
            </w:r>
            <w:r w:rsidR="00B56C6F" w:rsidRPr="00087859">
              <w:rPr>
                <w:rFonts w:eastAsia="Times New Roman" w:cstheme="minorHAnsi"/>
                <w:b w:val="0"/>
                <w:color w:val="000000"/>
              </w:rPr>
              <w:t xml:space="preserve">Project concepts initiated with the Planning Work Group early in the project development process. Small group meetings/calls occur between regularly scheduled Planning Work Group meetings to generate options </w:t>
            </w:r>
            <w:r w:rsidR="00BF6829" w:rsidRPr="00087859">
              <w:rPr>
                <w:rFonts w:eastAsia="Times New Roman" w:cstheme="minorHAnsi"/>
                <w:b w:val="0"/>
                <w:color w:val="000000"/>
              </w:rPr>
              <w:t xml:space="preserve">to </w:t>
            </w:r>
            <w:r w:rsidR="00B56C6F" w:rsidRPr="00087859">
              <w:rPr>
                <w:rFonts w:eastAsia="Times New Roman" w:cstheme="minorHAnsi"/>
                <w:b w:val="0"/>
                <w:color w:val="000000"/>
              </w:rPr>
              <w:t>resolve conflicts. The Planning</w:t>
            </w:r>
            <w:r w:rsidRPr="00087859">
              <w:rPr>
                <w:rFonts w:eastAsia="Times New Roman" w:cstheme="minorHAnsi"/>
                <w:b w:val="0"/>
                <w:color w:val="000000"/>
              </w:rPr>
              <w:t xml:space="preserve"> Work Group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BF6829" w:rsidRPr="00087859">
              <w:rPr>
                <w:rFonts w:eastAsia="Times New Roman" w:cstheme="minorHAnsi"/>
                <w:b w:val="0"/>
                <w:color w:val="000000"/>
              </w:rPr>
              <w:t>gives</w:t>
            </w:r>
            <w:r w:rsidR="00B56C6F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>regular updates to the full ACCG</w:t>
            </w:r>
            <w:r w:rsidR="000B759F" w:rsidRPr="00087859">
              <w:rPr>
                <w:rFonts w:eastAsia="Times New Roman" w:cstheme="minorHAnsi"/>
                <w:b w:val="0"/>
                <w:color w:val="000000"/>
              </w:rPr>
              <w:t xml:space="preserve"> at General meetings</w:t>
            </w:r>
            <w:r w:rsidR="00BF6829" w:rsidRPr="00087859">
              <w:rPr>
                <w:rFonts w:eastAsia="Times New Roman" w:cstheme="minorHAnsi"/>
                <w:b w:val="0"/>
                <w:color w:val="000000"/>
              </w:rPr>
              <w:t xml:space="preserve"> throughout the project development process</w:t>
            </w:r>
            <w:r w:rsidR="000B759F" w:rsidRPr="00087859">
              <w:rPr>
                <w:rFonts w:eastAsia="Times New Roman" w:cstheme="minorHAnsi"/>
                <w:b w:val="0"/>
                <w:color w:val="000000"/>
              </w:rPr>
              <w:t>. U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>ltimately</w:t>
            </w:r>
            <w:r w:rsidR="000B759F" w:rsidRPr="00087859">
              <w:rPr>
                <w:rFonts w:eastAsia="Times New Roman" w:cstheme="minorHAnsi"/>
                <w:b w:val="0"/>
                <w:color w:val="000000"/>
              </w:rPr>
              <w:t>,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Planning Work Group recommendation</w:t>
            </w:r>
            <w:r w:rsidR="009814D0" w:rsidRPr="00087859">
              <w:rPr>
                <w:rFonts w:eastAsia="Times New Roman" w:cstheme="minorHAnsi"/>
                <w:b w:val="0"/>
                <w:color w:val="000000"/>
              </w:rPr>
              <w:t>s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9814D0" w:rsidRPr="00087859">
              <w:rPr>
                <w:rFonts w:eastAsia="Times New Roman" w:cstheme="minorHAnsi"/>
                <w:b w:val="0"/>
                <w:color w:val="000000"/>
              </w:rPr>
              <w:t>are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</w:t>
            </w:r>
            <w:r w:rsidR="00B86CF6" w:rsidRPr="00087859">
              <w:rPr>
                <w:rFonts w:eastAsia="Times New Roman" w:cstheme="minorHAnsi"/>
                <w:b w:val="0"/>
                <w:color w:val="000000"/>
              </w:rPr>
              <w:t>sent</w:t>
            </w:r>
            <w:r w:rsidR="00CD6F5C" w:rsidRPr="00087859">
              <w:rPr>
                <w:rFonts w:eastAsia="Times New Roman" w:cstheme="minorHAnsi"/>
                <w:b w:val="0"/>
                <w:color w:val="000000"/>
              </w:rPr>
              <w:t xml:space="preserve"> to the full ACCG for concurrence.</w:t>
            </w:r>
          </w:p>
          <w:p w14:paraId="20989D96" w14:textId="2B7C412A" w:rsidR="00524FDA" w:rsidRPr="0005015B" w:rsidRDefault="00524FDA" w:rsidP="000B38CF">
            <w:pPr>
              <w:rPr>
                <w:rFonts w:eastAsia="Times New Roman" w:cstheme="minorHAnsi"/>
                <w:b w:val="0"/>
                <w:color w:val="000000"/>
              </w:rPr>
            </w:pPr>
          </w:p>
        </w:tc>
      </w:tr>
      <w:tr w:rsidR="00056085" w14:paraId="01FAC979" w14:textId="77777777" w:rsidTr="00C50D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70E3754B" w14:textId="05EB1B31" w:rsidR="00056085" w:rsidRDefault="00A849E5" w:rsidP="00A849E5">
            <w:pPr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Project Activities</w:t>
            </w:r>
          </w:p>
        </w:tc>
        <w:tc>
          <w:tcPr>
            <w:tcW w:w="3420" w:type="dxa"/>
          </w:tcPr>
          <w:p w14:paraId="6117AFC3" w14:textId="5E891687" w:rsidR="00056085" w:rsidRPr="00A849E5" w:rsidRDefault="00A849E5" w:rsidP="00A8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Considerations</w:t>
            </w:r>
          </w:p>
        </w:tc>
        <w:tc>
          <w:tcPr>
            <w:tcW w:w="3865" w:type="dxa"/>
          </w:tcPr>
          <w:p w14:paraId="64BEACDF" w14:textId="210F02C3" w:rsidR="00056085" w:rsidRPr="00A849E5" w:rsidRDefault="00A849E5" w:rsidP="00A849E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Procedures</w:t>
            </w:r>
          </w:p>
        </w:tc>
      </w:tr>
      <w:tr w:rsidR="00B86CF6" w14:paraId="52E1E216" w14:textId="77777777" w:rsidTr="00C50D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14:paraId="2F9E9738" w14:textId="03FF2A0F" w:rsidR="00B86CF6" w:rsidRPr="00401A66" w:rsidRDefault="001946D1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Permanent </w:t>
            </w:r>
            <w:r w:rsidR="003A48A4" w:rsidRPr="00401A66">
              <w:rPr>
                <w:rFonts w:cstheme="minorHAnsi"/>
                <w:b w:val="0"/>
                <w:color w:val="000000" w:themeColor="text1"/>
              </w:rPr>
              <w:t>new road construction</w:t>
            </w:r>
            <w:r w:rsidR="00014BBA" w:rsidRPr="00401A66">
              <w:rPr>
                <w:rFonts w:cstheme="minorHAnsi"/>
                <w:b w:val="0"/>
                <w:color w:val="000000" w:themeColor="text1"/>
              </w:rPr>
              <w:t xml:space="preserve"> (adding new miles to the road system)</w:t>
            </w:r>
          </w:p>
          <w:p w14:paraId="54BD2C64" w14:textId="6EFD28B6" w:rsidR="00B86CF6" w:rsidRPr="00401A66" w:rsidRDefault="00F03A9B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Tree cutting and removal </w:t>
            </w:r>
            <w:r w:rsidR="00B86CF6" w:rsidRPr="00401A66">
              <w:rPr>
                <w:rFonts w:cstheme="minorHAnsi"/>
                <w:b w:val="0"/>
                <w:color w:val="000000" w:themeColor="text1"/>
              </w:rPr>
              <w:t>in inventoried roadless areas</w:t>
            </w:r>
          </w:p>
          <w:p w14:paraId="3F30EF1A" w14:textId="02692B90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20”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536FDE" w:rsidRPr="00401A66">
              <w:rPr>
                <w:rFonts w:cstheme="minorHAnsi"/>
                <w:b w:val="0"/>
                <w:color w:val="000000" w:themeColor="text1"/>
              </w:rPr>
              <w:t xml:space="preserve">or greater </w:t>
            </w:r>
            <w:r w:rsidRPr="00401A66">
              <w:rPr>
                <w:rFonts w:cstheme="minorHAnsi"/>
                <w:b w:val="0"/>
                <w:color w:val="000000" w:themeColor="text1"/>
              </w:rPr>
              <w:t>in PACS</w:t>
            </w:r>
          </w:p>
          <w:p w14:paraId="1E0B3836" w14:textId="17B8EB49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Logging trees 30” </w:t>
            </w:r>
            <w:proofErr w:type="spellStart"/>
            <w:r w:rsidRPr="00401A66">
              <w:rPr>
                <w:rFonts w:cstheme="minorHAnsi"/>
                <w:b w:val="0"/>
                <w:color w:val="000000" w:themeColor="text1"/>
              </w:rPr>
              <w:t>dbh</w:t>
            </w:r>
            <w:proofErr w:type="spellEnd"/>
            <w:r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1851D0" w:rsidRPr="00401A66">
              <w:rPr>
                <w:rFonts w:cstheme="minorHAnsi"/>
                <w:b w:val="0"/>
                <w:color w:val="000000" w:themeColor="text1"/>
              </w:rPr>
              <w:t xml:space="preserve">or greater </w:t>
            </w:r>
            <w:r w:rsidRPr="00401A66">
              <w:rPr>
                <w:rFonts w:cstheme="minorHAnsi"/>
                <w:b w:val="0"/>
                <w:color w:val="000000" w:themeColor="text1"/>
              </w:rPr>
              <w:t>for “forest health” (e.g., red fir dwarf mistletoe, etc.)</w:t>
            </w:r>
          </w:p>
          <w:p w14:paraId="5F29C9E6" w14:textId="561E9317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Reducing canopy cover in high quality spotted owl habitat to lower canopy cover class</w:t>
            </w:r>
          </w:p>
          <w:p w14:paraId="66682DAF" w14:textId="6DFDCC71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Reducing canopy cover to less than 50% in spotted owl HRCAs</w:t>
            </w:r>
          </w:p>
          <w:p w14:paraId="547CC4E5" w14:textId="3C990B41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 xml:space="preserve">Multiple Categorical Exclusions (CEs) for logging used in a concentrated area over a short duration </w:t>
            </w:r>
            <w:r w:rsidR="001851D0" w:rsidRPr="00401A66">
              <w:rPr>
                <w:rFonts w:cstheme="minorHAnsi"/>
                <w:b w:val="0"/>
                <w:color w:val="000000" w:themeColor="text1"/>
              </w:rPr>
              <w:t>which could cause cumulative effects</w:t>
            </w:r>
          </w:p>
          <w:p w14:paraId="3C839CA1" w14:textId="11CF3FC8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Salvage logging</w:t>
            </w:r>
            <w:r w:rsidR="00BB5500" w:rsidRPr="00401A66">
              <w:rPr>
                <w:rFonts w:cstheme="minorHAnsi"/>
                <w:b w:val="0"/>
                <w:color w:val="000000" w:themeColor="text1"/>
              </w:rPr>
              <w:t xml:space="preserve"> outside of roadsides and fuel breaks</w:t>
            </w:r>
            <w:r w:rsidR="000E5A15" w:rsidRPr="00401A66">
              <w:rPr>
                <w:rFonts w:cstheme="minorHAnsi"/>
                <w:b w:val="0"/>
                <w:color w:val="000000" w:themeColor="text1"/>
              </w:rPr>
              <w:t xml:space="preserve"> especially</w:t>
            </w:r>
            <w:r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  <w:r w:rsidR="003F76B7" w:rsidRPr="00401A66">
              <w:rPr>
                <w:rFonts w:cstheme="minorHAnsi"/>
                <w:b w:val="0"/>
                <w:color w:val="000000" w:themeColor="text1"/>
              </w:rPr>
              <w:t xml:space="preserve">where </w:t>
            </w:r>
            <w:r w:rsidRPr="00401A66">
              <w:rPr>
                <w:rFonts w:cstheme="minorHAnsi"/>
                <w:b w:val="0"/>
                <w:color w:val="000000" w:themeColor="text1"/>
              </w:rPr>
              <w:t>sensitive wildlife may be affected</w:t>
            </w:r>
          </w:p>
          <w:p w14:paraId="073C6AEF" w14:textId="420FE636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Aspen restoration that includes logging legacy trees</w:t>
            </w:r>
          </w:p>
          <w:p w14:paraId="4D94B5EE" w14:textId="6FEF1545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Herbicide use for plantation establishment</w:t>
            </w:r>
          </w:p>
          <w:p w14:paraId="5EC2E487" w14:textId="56CEA5C2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lastRenderedPageBreak/>
              <w:t xml:space="preserve">Herbicide use for creating or maintaining large fuel breaks </w:t>
            </w:r>
            <w:r w:rsidR="001A7988" w:rsidRPr="00401A66">
              <w:rPr>
                <w:rFonts w:cstheme="minorHAnsi"/>
                <w:b w:val="0"/>
                <w:color w:val="000000" w:themeColor="text1"/>
              </w:rPr>
              <w:t>over the long</w:t>
            </w:r>
            <w:r w:rsidR="00ED03D6" w:rsidRPr="00401A66">
              <w:rPr>
                <w:rFonts w:cstheme="minorHAnsi"/>
                <w:b w:val="0"/>
                <w:color w:val="000000" w:themeColor="text1"/>
              </w:rPr>
              <w:t>-</w:t>
            </w:r>
            <w:r w:rsidR="001A7988" w:rsidRPr="00401A66">
              <w:rPr>
                <w:rFonts w:cstheme="minorHAnsi"/>
                <w:b w:val="0"/>
                <w:color w:val="000000" w:themeColor="text1"/>
              </w:rPr>
              <w:t>term</w:t>
            </w:r>
            <w:r w:rsidR="00D035B5" w:rsidRPr="00401A66">
              <w:rPr>
                <w:rFonts w:cstheme="minorHAnsi"/>
                <w:b w:val="0"/>
                <w:color w:val="000000" w:themeColor="text1"/>
              </w:rPr>
              <w:t xml:space="preserve"> </w:t>
            </w:r>
          </w:p>
          <w:p w14:paraId="63AA1DEF" w14:textId="77777777" w:rsidR="00B86CF6" w:rsidRPr="00401A66" w:rsidRDefault="00B86CF6" w:rsidP="00B86CF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b w:val="0"/>
                <w:color w:val="000000" w:themeColor="text1"/>
              </w:rPr>
              <w:t>Rare plant habitat used as a staging area</w:t>
            </w:r>
          </w:p>
          <w:p w14:paraId="1CF24713" w14:textId="55316986" w:rsidR="00B86CF6" w:rsidRPr="00401A66" w:rsidRDefault="00B86CF6" w:rsidP="00B86CF6">
            <w:pPr>
              <w:pStyle w:val="ListParagraph"/>
              <w:rPr>
                <w:rFonts w:cstheme="minorHAnsi"/>
                <w:color w:val="000000" w:themeColor="text1"/>
              </w:rPr>
            </w:pPr>
          </w:p>
        </w:tc>
        <w:tc>
          <w:tcPr>
            <w:tcW w:w="3420" w:type="dxa"/>
          </w:tcPr>
          <w:p w14:paraId="36140785" w14:textId="62ADAE0A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lastRenderedPageBreak/>
              <w:t>Expect many months to over a year engagement with the ACCG.</w:t>
            </w:r>
          </w:p>
          <w:p w14:paraId="00A88F49" w14:textId="359CE521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Project size and other project effects could affect the level of controversy</w:t>
            </w:r>
            <w:r w:rsidR="00A60270">
              <w:rPr>
                <w:rFonts w:cstheme="minorHAnsi"/>
                <w:color w:val="000000" w:themeColor="text1"/>
              </w:rPr>
              <w:t>.</w:t>
            </w:r>
          </w:p>
          <w:p w14:paraId="6042F29C" w14:textId="5F0F02BF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The move from more directive forest plans to descriptive ones could increase the level of controversy</w:t>
            </w:r>
            <w:r w:rsidR="00A60270">
              <w:rPr>
                <w:rFonts w:cstheme="minorHAnsi"/>
                <w:color w:val="000000" w:themeColor="text1"/>
              </w:rPr>
              <w:t>.</w:t>
            </w:r>
          </w:p>
          <w:p w14:paraId="1B065066" w14:textId="36E748B0" w:rsidR="00B86CF6" w:rsidRPr="00401A66" w:rsidRDefault="00B86CF6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Certain CE categories such as 36 CFR 220.6 (e) (6), Timber Stand and Wildlife Habitat Improvement. This exclusion category does not have an acreage limit. If large-scale logging projects that include controversial </w:t>
            </w:r>
            <w:r w:rsidRPr="00401A66">
              <w:rPr>
                <w:rFonts w:cstheme="minorHAnsi"/>
                <w:color w:val="000000" w:themeColor="text1"/>
              </w:rPr>
              <w:lastRenderedPageBreak/>
              <w:t>activities were implemented under such a category, the level of controversy would be high.</w:t>
            </w:r>
          </w:p>
          <w:p w14:paraId="559C1530" w14:textId="1BBEECBC" w:rsidR="00E67AE0" w:rsidRPr="00401A66" w:rsidRDefault="00E67AE0" w:rsidP="00B07B0D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If projects do not engage stakeholders collaboratively</w:t>
            </w:r>
            <w:r w:rsidR="0025639C" w:rsidRPr="00401A66">
              <w:rPr>
                <w:rFonts w:cstheme="minorHAnsi"/>
                <w:color w:val="000000" w:themeColor="text1"/>
              </w:rPr>
              <w:t xml:space="preserve"> and early in the project development process</w:t>
            </w:r>
            <w:r w:rsidRPr="00401A66">
              <w:rPr>
                <w:rFonts w:cstheme="minorHAnsi"/>
                <w:color w:val="000000" w:themeColor="text1"/>
              </w:rPr>
              <w:t>, the controversy is likely to be high.</w:t>
            </w:r>
          </w:p>
          <w:p w14:paraId="3E198F66" w14:textId="77777777" w:rsidR="00B86CF6" w:rsidRPr="00401A66" w:rsidRDefault="00B86CF6" w:rsidP="00B8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  <w:p w14:paraId="159D62FF" w14:textId="091DF38E" w:rsidR="00B86CF6" w:rsidRPr="00401A66" w:rsidRDefault="00B86CF6" w:rsidP="00B86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</w:rPr>
            </w:pPr>
          </w:p>
        </w:tc>
        <w:tc>
          <w:tcPr>
            <w:tcW w:w="3865" w:type="dxa"/>
          </w:tcPr>
          <w:p w14:paraId="4E20AC69" w14:textId="5D153480" w:rsidR="00B86CF6" w:rsidRPr="00401A66" w:rsidRDefault="00AB5DB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lastRenderedPageBreak/>
              <w:t>Ten days</w:t>
            </w:r>
            <w:r w:rsidR="00B86CF6" w:rsidRPr="00401A66">
              <w:rPr>
                <w:rFonts w:cstheme="minorHAnsi"/>
                <w:color w:val="000000" w:themeColor="text1"/>
              </w:rPr>
              <w:t xml:space="preserve"> prior to Planning meeting, provide relevant project materials to Planning WG lead(s).</w:t>
            </w:r>
          </w:p>
          <w:p w14:paraId="2E7DC388" w14:textId="7140548A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Present project</w:t>
            </w:r>
            <w:r w:rsidR="0025639C" w:rsidRPr="00401A66">
              <w:rPr>
                <w:rFonts w:cstheme="minorHAnsi"/>
                <w:color w:val="000000" w:themeColor="text1"/>
              </w:rPr>
              <w:t xml:space="preserve"> concepts</w:t>
            </w:r>
            <w:r w:rsidRPr="00401A66">
              <w:rPr>
                <w:rFonts w:cstheme="minorHAnsi"/>
                <w:color w:val="000000" w:themeColor="text1"/>
              </w:rPr>
              <w:t xml:space="preserve"> at Planning</w:t>
            </w:r>
            <w:r w:rsidR="0025639C" w:rsidRPr="00401A66">
              <w:rPr>
                <w:rFonts w:cstheme="minorHAnsi"/>
                <w:color w:val="000000" w:themeColor="text1"/>
              </w:rPr>
              <w:t xml:space="preserve"> WG</w:t>
            </w:r>
            <w:r w:rsidRPr="00401A66">
              <w:rPr>
                <w:rFonts w:cstheme="minorHAnsi"/>
                <w:color w:val="000000" w:themeColor="text1"/>
              </w:rPr>
              <w:t xml:space="preserve"> meeting. </w:t>
            </w:r>
          </w:p>
          <w:p w14:paraId="647FD86E" w14:textId="77777777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Conduct any follow up activities to address Planning WG concerns or information requests. </w:t>
            </w:r>
          </w:p>
          <w:p w14:paraId="7DC89A61" w14:textId="77777777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 xml:space="preserve">If concerns persist, the Planning WG will initiate the conflict resolution process, as described in the ACCG MOA. </w:t>
            </w:r>
          </w:p>
          <w:p w14:paraId="669B6BD9" w14:textId="77777777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t>Regardless of the outcome of deliberations, once the Planning WG makes a recommendation on the project, the WG will convey to the Admin WG to be placed on the ACCG general meeting agenda.</w:t>
            </w:r>
          </w:p>
          <w:p w14:paraId="51EB81DD" w14:textId="20228029" w:rsidR="00B86CF6" w:rsidRPr="00401A66" w:rsidRDefault="00B86CF6" w:rsidP="00B86CF6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401A66">
              <w:rPr>
                <w:rFonts w:cstheme="minorHAnsi"/>
                <w:color w:val="000000" w:themeColor="text1"/>
              </w:rPr>
              <w:lastRenderedPageBreak/>
              <w:t xml:space="preserve">Individual members may provide support or opposition for any project or aspects of a project. </w:t>
            </w:r>
          </w:p>
        </w:tc>
      </w:tr>
    </w:tbl>
    <w:p w14:paraId="1FC652D4" w14:textId="5918258E" w:rsidR="00C46BD0" w:rsidRDefault="00C46BD0"/>
    <w:p w14:paraId="7AB1BFBA" w14:textId="77777777" w:rsidR="00C46BD0" w:rsidRPr="00C46BD0" w:rsidRDefault="00C46BD0" w:rsidP="00C46BD0"/>
    <w:p w14:paraId="19A70394" w14:textId="77777777" w:rsidR="00C46BD0" w:rsidRPr="001E1652" w:rsidRDefault="00C46BD0" w:rsidP="001E1652"/>
    <w:p w14:paraId="52CDD0B4" w14:textId="77777777" w:rsidR="00C46BD0" w:rsidRPr="001E1652" w:rsidRDefault="00C46BD0" w:rsidP="001E1652"/>
    <w:p w14:paraId="0888FA4A" w14:textId="77777777" w:rsidR="00C46BD0" w:rsidRPr="001E1652" w:rsidRDefault="00C46BD0" w:rsidP="001E1652"/>
    <w:p w14:paraId="55BC5CE0" w14:textId="77777777" w:rsidR="00C46BD0" w:rsidRPr="001E1652" w:rsidRDefault="00C46BD0" w:rsidP="001E1652"/>
    <w:p w14:paraId="6686E96A" w14:textId="77777777" w:rsidR="00C46BD0" w:rsidRPr="001E1652" w:rsidRDefault="00C46BD0" w:rsidP="001E1652"/>
    <w:p w14:paraId="2B94EBC9" w14:textId="77777777" w:rsidR="00C46BD0" w:rsidRPr="001E1652" w:rsidRDefault="00C46BD0" w:rsidP="001E1652"/>
    <w:p w14:paraId="5941C1E0" w14:textId="77777777" w:rsidR="00C46BD0" w:rsidRPr="001E1652" w:rsidRDefault="00C46BD0" w:rsidP="001E1652"/>
    <w:p w14:paraId="02276729" w14:textId="77777777" w:rsidR="00C46BD0" w:rsidRPr="001E1652" w:rsidRDefault="00C46BD0" w:rsidP="001E1652"/>
    <w:p w14:paraId="5C4C58B6" w14:textId="77777777" w:rsidR="00C46BD0" w:rsidRPr="001E1652" w:rsidRDefault="00C46BD0" w:rsidP="001E1652"/>
    <w:p w14:paraId="6EEDEE22" w14:textId="77777777" w:rsidR="00C46BD0" w:rsidRPr="001E1652" w:rsidRDefault="00C46BD0" w:rsidP="001E1652"/>
    <w:p w14:paraId="7101CF67" w14:textId="77777777" w:rsidR="00C46BD0" w:rsidRPr="001E1652" w:rsidRDefault="00C46BD0" w:rsidP="001E1652"/>
    <w:p w14:paraId="2D1AAC21" w14:textId="77777777" w:rsidR="00C46BD0" w:rsidRPr="001E1652" w:rsidRDefault="00C46BD0" w:rsidP="001E1652"/>
    <w:p w14:paraId="0E65A2B0" w14:textId="734A3F22" w:rsidR="00C46BD0" w:rsidRDefault="00C46BD0" w:rsidP="00C46BD0"/>
    <w:p w14:paraId="0264F0B2" w14:textId="75727B28" w:rsidR="00413F09" w:rsidRPr="00C46BD0" w:rsidRDefault="00C46BD0" w:rsidP="001E1652">
      <w:pPr>
        <w:tabs>
          <w:tab w:val="left" w:pos="11771"/>
        </w:tabs>
      </w:pPr>
      <w:r>
        <w:tab/>
      </w:r>
    </w:p>
    <w:sectPr w:rsidR="00413F09" w:rsidRPr="00C46BD0" w:rsidSect="00BF3E2A">
      <w:headerReference w:type="default" r:id="rId7"/>
      <w:footerReference w:type="even" r:id="rId8"/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1710B" w14:textId="77777777" w:rsidR="00322935" w:rsidRDefault="00322935" w:rsidP="00E27291">
      <w:r>
        <w:separator/>
      </w:r>
    </w:p>
  </w:endnote>
  <w:endnote w:type="continuationSeparator" w:id="0">
    <w:p w14:paraId="0BBCBA3F" w14:textId="77777777" w:rsidR="00322935" w:rsidRDefault="00322935" w:rsidP="00E2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05403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951F7" w14:textId="6EC83E9C" w:rsidR="00E40D35" w:rsidRDefault="00E40D35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4F4CFC" w14:textId="77777777" w:rsidR="00E40D35" w:rsidRDefault="00E40D35" w:rsidP="00E40D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05661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9E0EA9" w14:textId="2334EBB8" w:rsidR="00E40D35" w:rsidRDefault="00E40D35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4BF25F" w14:textId="77777777" w:rsidR="00E40D35" w:rsidRDefault="00E40D35" w:rsidP="00E40D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8A069" w14:textId="77777777" w:rsidR="00322935" w:rsidRDefault="00322935" w:rsidP="00E27291">
      <w:r>
        <w:separator/>
      </w:r>
    </w:p>
  </w:footnote>
  <w:footnote w:type="continuationSeparator" w:id="0">
    <w:p w14:paraId="797ACE0E" w14:textId="77777777" w:rsidR="00322935" w:rsidRDefault="00322935" w:rsidP="00E27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96D43" w14:textId="183B9FA8" w:rsidR="00E27291" w:rsidRDefault="00322935" w:rsidP="00E27291">
    <w:pPr>
      <w:pStyle w:val="Header"/>
      <w:rPr>
        <w:rFonts w:ascii="Arial Rounded MT Bold" w:hAnsi="Arial Rounded MT Bold"/>
        <w:color w:val="385623" w:themeColor="accent6" w:themeShade="80"/>
        <w:sz w:val="32"/>
        <w:szCs w:val="32"/>
      </w:rPr>
    </w:pPr>
    <w:r>
      <w:rPr>
        <w:noProof/>
        <w:sz w:val="22"/>
        <w:szCs w:val="22"/>
      </w:rPr>
      <w:pict w14:anchorId="27C111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6984989" o:spid="_x0000_s2049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  <w:r w:rsidR="00E27291" w:rsidRPr="0006632C">
      <w:rPr>
        <w:rFonts w:ascii="Arial Rounded MT Bold" w:hAnsi="Arial Rounded MT Bold"/>
        <w:color w:val="385623" w:themeColor="accent6" w:themeShade="80"/>
        <w:sz w:val="32"/>
        <w:szCs w:val="32"/>
      </w:rPr>
      <w:t>Amador Calaveras Consensus Group</w:t>
    </w:r>
    <w:r w:rsidR="00E27291">
      <w:rPr>
        <w:rFonts w:ascii="Arial Rounded MT Bold" w:hAnsi="Arial Rounded MT Bold"/>
        <w:color w:val="385623" w:themeColor="accent6" w:themeShade="80"/>
        <w:sz w:val="32"/>
        <w:szCs w:val="32"/>
      </w:rPr>
      <w:t xml:space="preserve"> (ACCG)</w:t>
    </w:r>
  </w:p>
  <w:p w14:paraId="76F17276" w14:textId="14F3FBEC" w:rsidR="00E27291" w:rsidRPr="00E27291" w:rsidRDefault="00F52E0F" w:rsidP="00E27291">
    <w:pPr>
      <w:pStyle w:val="Header"/>
      <w:rPr>
        <w:i/>
        <w:sz w:val="32"/>
        <w:szCs w:val="32"/>
      </w:rPr>
    </w:pPr>
    <w:r>
      <w:rPr>
        <w:i/>
        <w:sz w:val="32"/>
        <w:szCs w:val="32"/>
      </w:rPr>
      <w:t>Proposed Forest Treatments</w:t>
    </w:r>
    <w:r w:rsidR="00185406">
      <w:rPr>
        <w:i/>
        <w:sz w:val="32"/>
        <w:szCs w:val="32"/>
      </w:rPr>
      <w:t xml:space="preserve"> Consensus-Building Support Tool </w:t>
    </w:r>
  </w:p>
  <w:p w14:paraId="1DEA3B1F" w14:textId="6EF3C0E2" w:rsidR="00E27291" w:rsidRDefault="00E27291">
    <w:pPr>
      <w:pStyle w:val="Header"/>
    </w:pPr>
  </w:p>
  <w:p w14:paraId="164C778C" w14:textId="77777777" w:rsidR="00E27291" w:rsidRDefault="00E27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BBC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630A97"/>
    <w:multiLevelType w:val="hybridMultilevel"/>
    <w:tmpl w:val="F324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05D83"/>
    <w:multiLevelType w:val="hybridMultilevel"/>
    <w:tmpl w:val="5CB868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1203FC"/>
    <w:multiLevelType w:val="hybridMultilevel"/>
    <w:tmpl w:val="194CE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290D64"/>
    <w:multiLevelType w:val="hybridMultilevel"/>
    <w:tmpl w:val="F38E1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83A30"/>
    <w:multiLevelType w:val="hybridMultilevel"/>
    <w:tmpl w:val="82382D54"/>
    <w:lvl w:ilvl="0" w:tplc="5558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7066D9"/>
    <w:multiLevelType w:val="hybridMultilevel"/>
    <w:tmpl w:val="72E09422"/>
    <w:lvl w:ilvl="0" w:tplc="EEC49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D35785"/>
    <w:multiLevelType w:val="hybridMultilevel"/>
    <w:tmpl w:val="AED6E5C0"/>
    <w:lvl w:ilvl="0" w:tplc="5558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767D72"/>
    <w:multiLevelType w:val="hybridMultilevel"/>
    <w:tmpl w:val="96F0E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E4457"/>
    <w:multiLevelType w:val="hybridMultilevel"/>
    <w:tmpl w:val="24BCBCDC"/>
    <w:lvl w:ilvl="0" w:tplc="EEC499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1517F"/>
    <w:multiLevelType w:val="hybridMultilevel"/>
    <w:tmpl w:val="5E926686"/>
    <w:lvl w:ilvl="0" w:tplc="555881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C3A6B"/>
    <w:multiLevelType w:val="hybridMultilevel"/>
    <w:tmpl w:val="C58E4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3E14"/>
    <w:multiLevelType w:val="hybridMultilevel"/>
    <w:tmpl w:val="A5A2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B11F9D"/>
    <w:multiLevelType w:val="hybridMultilevel"/>
    <w:tmpl w:val="08E82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736C3B46"/>
    <w:multiLevelType w:val="hybridMultilevel"/>
    <w:tmpl w:val="5E7C4594"/>
    <w:lvl w:ilvl="0" w:tplc="8C6EF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CA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FCE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545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EE4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340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047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8C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5C9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59E74FC"/>
    <w:multiLevelType w:val="hybridMultilevel"/>
    <w:tmpl w:val="44EC635A"/>
    <w:lvl w:ilvl="0" w:tplc="EEC499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15"/>
  </w:num>
  <w:num w:numId="10">
    <w:abstractNumId w:val="2"/>
  </w:num>
  <w:num w:numId="11">
    <w:abstractNumId w:val="14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CF"/>
    <w:rsid w:val="000000C8"/>
    <w:rsid w:val="00000F84"/>
    <w:rsid w:val="00014BBA"/>
    <w:rsid w:val="00017A8B"/>
    <w:rsid w:val="000226B8"/>
    <w:rsid w:val="00026F24"/>
    <w:rsid w:val="00030A26"/>
    <w:rsid w:val="00031316"/>
    <w:rsid w:val="00040370"/>
    <w:rsid w:val="0004555A"/>
    <w:rsid w:val="0005015B"/>
    <w:rsid w:val="000535D6"/>
    <w:rsid w:val="00056085"/>
    <w:rsid w:val="0006025E"/>
    <w:rsid w:val="0007698E"/>
    <w:rsid w:val="00076C2E"/>
    <w:rsid w:val="000801F7"/>
    <w:rsid w:val="00087859"/>
    <w:rsid w:val="00092283"/>
    <w:rsid w:val="00095883"/>
    <w:rsid w:val="000A5FDF"/>
    <w:rsid w:val="000B36BF"/>
    <w:rsid w:val="000B38CF"/>
    <w:rsid w:val="000B759F"/>
    <w:rsid w:val="000C0FA5"/>
    <w:rsid w:val="000C4860"/>
    <w:rsid w:val="000D64A9"/>
    <w:rsid w:val="000E5A15"/>
    <w:rsid w:val="000E5D2F"/>
    <w:rsid w:val="00107AED"/>
    <w:rsid w:val="00110BB3"/>
    <w:rsid w:val="00114D2A"/>
    <w:rsid w:val="001232FC"/>
    <w:rsid w:val="001306E3"/>
    <w:rsid w:val="00143960"/>
    <w:rsid w:val="00155730"/>
    <w:rsid w:val="00157414"/>
    <w:rsid w:val="00157CE7"/>
    <w:rsid w:val="0016565B"/>
    <w:rsid w:val="00180AC3"/>
    <w:rsid w:val="001851D0"/>
    <w:rsid w:val="00185406"/>
    <w:rsid w:val="00187150"/>
    <w:rsid w:val="001946D1"/>
    <w:rsid w:val="001A7988"/>
    <w:rsid w:val="001B0E03"/>
    <w:rsid w:val="001B785C"/>
    <w:rsid w:val="001C14E6"/>
    <w:rsid w:val="001E1652"/>
    <w:rsid w:val="001E4661"/>
    <w:rsid w:val="001E4D67"/>
    <w:rsid w:val="00225C6B"/>
    <w:rsid w:val="00225E9E"/>
    <w:rsid w:val="002523BB"/>
    <w:rsid w:val="0025639C"/>
    <w:rsid w:val="002628AE"/>
    <w:rsid w:val="00266B49"/>
    <w:rsid w:val="002969BA"/>
    <w:rsid w:val="002C2A69"/>
    <w:rsid w:val="002D34B9"/>
    <w:rsid w:val="002D5BB0"/>
    <w:rsid w:val="002D7031"/>
    <w:rsid w:val="002E20D2"/>
    <w:rsid w:val="002F17AC"/>
    <w:rsid w:val="00322935"/>
    <w:rsid w:val="0033116A"/>
    <w:rsid w:val="0034379B"/>
    <w:rsid w:val="003548B9"/>
    <w:rsid w:val="0036194A"/>
    <w:rsid w:val="0036247C"/>
    <w:rsid w:val="00362CF5"/>
    <w:rsid w:val="00372DA9"/>
    <w:rsid w:val="003755BD"/>
    <w:rsid w:val="0037799B"/>
    <w:rsid w:val="00397564"/>
    <w:rsid w:val="003A1502"/>
    <w:rsid w:val="003A48A4"/>
    <w:rsid w:val="003C7FCE"/>
    <w:rsid w:val="003E1954"/>
    <w:rsid w:val="003F76B7"/>
    <w:rsid w:val="00401A66"/>
    <w:rsid w:val="00413F09"/>
    <w:rsid w:val="00422A69"/>
    <w:rsid w:val="00425E0D"/>
    <w:rsid w:val="004263E4"/>
    <w:rsid w:val="00434AAF"/>
    <w:rsid w:val="00440984"/>
    <w:rsid w:val="00446672"/>
    <w:rsid w:val="004836AD"/>
    <w:rsid w:val="00486805"/>
    <w:rsid w:val="004923A3"/>
    <w:rsid w:val="004A150D"/>
    <w:rsid w:val="004A2D48"/>
    <w:rsid w:val="004B2EF5"/>
    <w:rsid w:val="004C131B"/>
    <w:rsid w:val="004C6630"/>
    <w:rsid w:val="004D0E30"/>
    <w:rsid w:val="004D2972"/>
    <w:rsid w:val="004D3E3C"/>
    <w:rsid w:val="004E3613"/>
    <w:rsid w:val="00501CCF"/>
    <w:rsid w:val="005040E5"/>
    <w:rsid w:val="00511D6D"/>
    <w:rsid w:val="0051695D"/>
    <w:rsid w:val="00521CEE"/>
    <w:rsid w:val="00524FDA"/>
    <w:rsid w:val="00525720"/>
    <w:rsid w:val="005348DC"/>
    <w:rsid w:val="00536FDE"/>
    <w:rsid w:val="00537BE1"/>
    <w:rsid w:val="005412E1"/>
    <w:rsid w:val="00541B67"/>
    <w:rsid w:val="00551659"/>
    <w:rsid w:val="0055240D"/>
    <w:rsid w:val="00556D74"/>
    <w:rsid w:val="00583F26"/>
    <w:rsid w:val="005971D1"/>
    <w:rsid w:val="005974E3"/>
    <w:rsid w:val="005B2B35"/>
    <w:rsid w:val="005B6654"/>
    <w:rsid w:val="005F601F"/>
    <w:rsid w:val="006044D9"/>
    <w:rsid w:val="00607050"/>
    <w:rsid w:val="0062424B"/>
    <w:rsid w:val="00654A95"/>
    <w:rsid w:val="00684C80"/>
    <w:rsid w:val="00686914"/>
    <w:rsid w:val="006A7161"/>
    <w:rsid w:val="006C5DB6"/>
    <w:rsid w:val="006D50CA"/>
    <w:rsid w:val="006D65BD"/>
    <w:rsid w:val="006D7F29"/>
    <w:rsid w:val="006E215E"/>
    <w:rsid w:val="006F39E5"/>
    <w:rsid w:val="006F3A72"/>
    <w:rsid w:val="00701A47"/>
    <w:rsid w:val="007026B7"/>
    <w:rsid w:val="00727C7E"/>
    <w:rsid w:val="00784345"/>
    <w:rsid w:val="007B4CE7"/>
    <w:rsid w:val="007D1863"/>
    <w:rsid w:val="007D7752"/>
    <w:rsid w:val="008371BD"/>
    <w:rsid w:val="008433E4"/>
    <w:rsid w:val="00864386"/>
    <w:rsid w:val="00874075"/>
    <w:rsid w:val="00881D20"/>
    <w:rsid w:val="00886320"/>
    <w:rsid w:val="00892BFA"/>
    <w:rsid w:val="008A1F20"/>
    <w:rsid w:val="008F141E"/>
    <w:rsid w:val="008F76E6"/>
    <w:rsid w:val="00903748"/>
    <w:rsid w:val="00920EBD"/>
    <w:rsid w:val="009218EE"/>
    <w:rsid w:val="00931D60"/>
    <w:rsid w:val="009347B7"/>
    <w:rsid w:val="00952207"/>
    <w:rsid w:val="00952687"/>
    <w:rsid w:val="009719DE"/>
    <w:rsid w:val="00980F59"/>
    <w:rsid w:val="009814D0"/>
    <w:rsid w:val="0098206C"/>
    <w:rsid w:val="009923AD"/>
    <w:rsid w:val="009A079A"/>
    <w:rsid w:val="009D1933"/>
    <w:rsid w:val="009E2AA7"/>
    <w:rsid w:val="009E6CCD"/>
    <w:rsid w:val="009E71E7"/>
    <w:rsid w:val="009F7F66"/>
    <w:rsid w:val="00A1373C"/>
    <w:rsid w:val="00A16F42"/>
    <w:rsid w:val="00A36B62"/>
    <w:rsid w:val="00A4618B"/>
    <w:rsid w:val="00A56498"/>
    <w:rsid w:val="00A60270"/>
    <w:rsid w:val="00A62616"/>
    <w:rsid w:val="00A65A4A"/>
    <w:rsid w:val="00A72A13"/>
    <w:rsid w:val="00A77064"/>
    <w:rsid w:val="00A8017F"/>
    <w:rsid w:val="00A849E5"/>
    <w:rsid w:val="00A86C2E"/>
    <w:rsid w:val="00A915C6"/>
    <w:rsid w:val="00AB4BBA"/>
    <w:rsid w:val="00AB5DB6"/>
    <w:rsid w:val="00AC4CAB"/>
    <w:rsid w:val="00AD0A08"/>
    <w:rsid w:val="00AD1CA9"/>
    <w:rsid w:val="00AE23DB"/>
    <w:rsid w:val="00AE3F72"/>
    <w:rsid w:val="00AF271F"/>
    <w:rsid w:val="00B01E23"/>
    <w:rsid w:val="00B07B0D"/>
    <w:rsid w:val="00B12BD1"/>
    <w:rsid w:val="00B20603"/>
    <w:rsid w:val="00B2347C"/>
    <w:rsid w:val="00B30708"/>
    <w:rsid w:val="00B314E4"/>
    <w:rsid w:val="00B4042B"/>
    <w:rsid w:val="00B56C6F"/>
    <w:rsid w:val="00B67D11"/>
    <w:rsid w:val="00B86CF6"/>
    <w:rsid w:val="00BA753E"/>
    <w:rsid w:val="00BB10D7"/>
    <w:rsid w:val="00BB1371"/>
    <w:rsid w:val="00BB515E"/>
    <w:rsid w:val="00BB5500"/>
    <w:rsid w:val="00BB5AE7"/>
    <w:rsid w:val="00BB5C57"/>
    <w:rsid w:val="00BC56E7"/>
    <w:rsid w:val="00BC7657"/>
    <w:rsid w:val="00BE296A"/>
    <w:rsid w:val="00BF3E2A"/>
    <w:rsid w:val="00BF6829"/>
    <w:rsid w:val="00BF6FBA"/>
    <w:rsid w:val="00C34143"/>
    <w:rsid w:val="00C44ED6"/>
    <w:rsid w:val="00C46BD0"/>
    <w:rsid w:val="00C50D6E"/>
    <w:rsid w:val="00C575CB"/>
    <w:rsid w:val="00C83532"/>
    <w:rsid w:val="00CA24F7"/>
    <w:rsid w:val="00CB53DF"/>
    <w:rsid w:val="00CD6F5C"/>
    <w:rsid w:val="00CE1F2B"/>
    <w:rsid w:val="00CE4DD0"/>
    <w:rsid w:val="00D035B5"/>
    <w:rsid w:val="00D06579"/>
    <w:rsid w:val="00D241FE"/>
    <w:rsid w:val="00D31EA2"/>
    <w:rsid w:val="00D378A9"/>
    <w:rsid w:val="00D42FB1"/>
    <w:rsid w:val="00D75321"/>
    <w:rsid w:val="00DB34E7"/>
    <w:rsid w:val="00DD3443"/>
    <w:rsid w:val="00DE2F74"/>
    <w:rsid w:val="00E03701"/>
    <w:rsid w:val="00E27291"/>
    <w:rsid w:val="00E40D35"/>
    <w:rsid w:val="00E423A9"/>
    <w:rsid w:val="00E662F8"/>
    <w:rsid w:val="00E67AE0"/>
    <w:rsid w:val="00E713B1"/>
    <w:rsid w:val="00E736A2"/>
    <w:rsid w:val="00E77B0D"/>
    <w:rsid w:val="00E8170B"/>
    <w:rsid w:val="00E83C81"/>
    <w:rsid w:val="00EA1E6B"/>
    <w:rsid w:val="00EA72B2"/>
    <w:rsid w:val="00ED03D6"/>
    <w:rsid w:val="00F03A9B"/>
    <w:rsid w:val="00F05F59"/>
    <w:rsid w:val="00F1083E"/>
    <w:rsid w:val="00F14ABD"/>
    <w:rsid w:val="00F36340"/>
    <w:rsid w:val="00F42FEE"/>
    <w:rsid w:val="00F5225A"/>
    <w:rsid w:val="00F52E0F"/>
    <w:rsid w:val="00F55D45"/>
    <w:rsid w:val="00F60A33"/>
    <w:rsid w:val="00F6593E"/>
    <w:rsid w:val="00F764DE"/>
    <w:rsid w:val="00F7681E"/>
    <w:rsid w:val="00F7696F"/>
    <w:rsid w:val="00F904F0"/>
    <w:rsid w:val="00FA079F"/>
    <w:rsid w:val="00FB1520"/>
    <w:rsid w:val="00FB51F5"/>
    <w:rsid w:val="00FC1C9F"/>
    <w:rsid w:val="00FC2422"/>
    <w:rsid w:val="00FC7ED4"/>
    <w:rsid w:val="00FD38AC"/>
    <w:rsid w:val="00FE1290"/>
    <w:rsid w:val="00FF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3A97B9"/>
  <w15:chartTrackingRefBased/>
  <w15:docId w15:val="{284D3F23-587E-604A-804A-BEEC253D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2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91"/>
  </w:style>
  <w:style w:type="paragraph" w:styleId="Footer">
    <w:name w:val="footer"/>
    <w:basedOn w:val="Normal"/>
    <w:link w:val="FooterChar"/>
    <w:uiPriority w:val="99"/>
    <w:unhideWhenUsed/>
    <w:rsid w:val="00E27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91"/>
  </w:style>
  <w:style w:type="paragraph" w:styleId="NormalWeb">
    <w:name w:val="Normal (Web)"/>
    <w:basedOn w:val="Normal"/>
    <w:uiPriority w:val="99"/>
    <w:semiHidden/>
    <w:unhideWhenUsed/>
    <w:rsid w:val="00E272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E27291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2729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74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05608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E40D35"/>
  </w:style>
  <w:style w:type="character" w:styleId="Hyperlink">
    <w:name w:val="Hyperlink"/>
    <w:basedOn w:val="DefaultParagraphFont"/>
    <w:uiPriority w:val="99"/>
    <w:unhideWhenUsed/>
    <w:rsid w:val="00B86C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CF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3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3BB"/>
    <w:rPr>
      <w:rFonts w:ascii="Times New Roman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0705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6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0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0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7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Carlone</dc:creator>
  <cp:keywords/>
  <dc:description/>
  <cp:lastModifiedBy>Tania Carlone</cp:lastModifiedBy>
  <cp:revision>2</cp:revision>
  <cp:lastPrinted>2019-11-20T04:48:00Z</cp:lastPrinted>
  <dcterms:created xsi:type="dcterms:W3CDTF">2020-01-18T03:09:00Z</dcterms:created>
  <dcterms:modified xsi:type="dcterms:W3CDTF">2020-01-18T03:09:00Z</dcterms:modified>
</cp:coreProperties>
</file>