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D8004" w14:textId="77777777" w:rsidR="00732EE2" w:rsidRDefault="00732EE2" w:rsidP="00732EE2">
      <w:pPr>
        <w:rPr>
          <w:u w:val="single"/>
        </w:rPr>
      </w:pPr>
    </w:p>
    <w:p w14:paraId="7B04C5A9" w14:textId="65A52A87" w:rsidR="00732EE2" w:rsidRPr="008D1FCD" w:rsidRDefault="008D1FCD" w:rsidP="00732EE2">
      <w:r>
        <w:tab/>
      </w:r>
      <w:r>
        <w:tab/>
      </w:r>
      <w:r>
        <w:tab/>
      </w:r>
      <w:r>
        <w:tab/>
      </w:r>
      <w:r>
        <w:tab/>
      </w:r>
      <w:r>
        <w:tab/>
      </w:r>
      <w:r>
        <w:tab/>
      </w:r>
      <w:r>
        <w:tab/>
      </w:r>
      <w:r>
        <w:tab/>
      </w:r>
      <w:r>
        <w:tab/>
      </w:r>
      <w:r>
        <w:tab/>
      </w:r>
    </w:p>
    <w:p w14:paraId="011FD02E" w14:textId="573C3104" w:rsidR="00F4505B" w:rsidRDefault="00F4505B" w:rsidP="00F4505B">
      <w:pPr>
        <w:widowControl w:val="0"/>
        <w:autoSpaceDE w:val="0"/>
        <w:autoSpaceDN w:val="0"/>
        <w:spacing w:before="89" w:after="0" w:line="240" w:lineRule="auto"/>
        <w:ind w:left="132"/>
        <w:rPr>
          <w:rFonts w:ascii="Arial" w:eastAsia="Arial" w:hAnsi="Arial" w:cs="Arial"/>
          <w:b/>
          <w:sz w:val="36"/>
        </w:rPr>
      </w:pPr>
      <w:r w:rsidRPr="00F4505B">
        <w:rPr>
          <w:rFonts w:ascii="Arial" w:eastAsia="Arial" w:hAnsi="Arial" w:cs="Arial"/>
          <w:b/>
          <w:sz w:val="36"/>
        </w:rPr>
        <w:t>Memorandum</w:t>
      </w:r>
    </w:p>
    <w:p w14:paraId="3B31586B" w14:textId="77777777" w:rsidR="00666F67" w:rsidRPr="00F4505B" w:rsidRDefault="00666F67" w:rsidP="00F4505B">
      <w:pPr>
        <w:widowControl w:val="0"/>
        <w:autoSpaceDE w:val="0"/>
        <w:autoSpaceDN w:val="0"/>
        <w:spacing w:before="89" w:after="0" w:line="240" w:lineRule="auto"/>
        <w:ind w:left="132"/>
        <w:rPr>
          <w:rFonts w:ascii="Arial" w:eastAsia="Arial" w:hAnsi="Arial" w:cs="Arial"/>
          <w:b/>
          <w:sz w:val="36"/>
        </w:rPr>
      </w:pPr>
    </w:p>
    <w:p w14:paraId="69663E6F" w14:textId="34AC6585" w:rsidR="00F4505B" w:rsidRPr="00F4505B" w:rsidRDefault="00F4505B" w:rsidP="00021874">
      <w:pPr>
        <w:widowControl w:val="0"/>
        <w:tabs>
          <w:tab w:val="left" w:pos="1377"/>
          <w:tab w:val="left" w:pos="5038"/>
        </w:tabs>
        <w:autoSpaceDE w:val="0"/>
        <w:autoSpaceDN w:val="0"/>
        <w:spacing w:after="0" w:line="242" w:lineRule="exact"/>
        <w:ind w:left="189"/>
        <w:rPr>
          <w:rFonts w:ascii="Arial" w:eastAsia="Arial" w:hAnsi="Arial" w:cs="Arial"/>
          <w:sz w:val="20"/>
        </w:rPr>
      </w:pPr>
      <w:r w:rsidRPr="00F4505B">
        <w:rPr>
          <w:rFonts w:ascii="Arial" w:eastAsia="Arial" w:hAnsi="Arial" w:cs="Arial"/>
          <w:b/>
        </w:rPr>
        <w:t>Date:</w:t>
      </w:r>
      <w:r w:rsidRPr="00F4505B">
        <w:rPr>
          <w:rFonts w:ascii="Arial" w:eastAsia="Arial" w:hAnsi="Arial" w:cs="Arial"/>
          <w:b/>
        </w:rPr>
        <w:tab/>
      </w:r>
      <w:r w:rsidR="00D37665">
        <w:rPr>
          <w:rFonts w:ascii="Arial" w:eastAsia="Arial" w:hAnsi="Arial" w:cs="Arial"/>
        </w:rPr>
        <w:t>November</w:t>
      </w:r>
      <w:r w:rsidRPr="00F4505B">
        <w:rPr>
          <w:rFonts w:ascii="Arial" w:eastAsia="Arial" w:hAnsi="Arial" w:cs="Arial"/>
        </w:rPr>
        <w:t xml:space="preserve"> </w:t>
      </w:r>
      <w:r w:rsidR="00D37665">
        <w:rPr>
          <w:rFonts w:ascii="Arial" w:eastAsia="Arial" w:hAnsi="Arial" w:cs="Arial"/>
        </w:rPr>
        <w:t>10</w:t>
      </w:r>
      <w:r w:rsidRPr="00F4505B">
        <w:rPr>
          <w:rFonts w:ascii="Arial" w:eastAsia="Arial" w:hAnsi="Arial" w:cs="Arial"/>
        </w:rPr>
        <w:t>, 202</w:t>
      </w:r>
      <w:r w:rsidR="00D37665">
        <w:rPr>
          <w:rFonts w:ascii="Arial" w:eastAsia="Arial" w:hAnsi="Arial" w:cs="Arial"/>
        </w:rPr>
        <w:t>2</w:t>
      </w:r>
      <w:r w:rsidRPr="00F4505B">
        <w:rPr>
          <w:rFonts w:ascii="Arial" w:eastAsia="Arial" w:hAnsi="Arial" w:cs="Arial"/>
        </w:rPr>
        <w:tab/>
      </w:r>
    </w:p>
    <w:p w14:paraId="12761F50" w14:textId="62EC427D" w:rsidR="00F4505B" w:rsidRPr="00F4505B" w:rsidRDefault="00F4505B" w:rsidP="00F4505B">
      <w:pPr>
        <w:widowControl w:val="0"/>
        <w:tabs>
          <w:tab w:val="left" w:pos="1377"/>
        </w:tabs>
        <w:autoSpaceDE w:val="0"/>
        <w:autoSpaceDN w:val="0"/>
        <w:spacing w:before="156" w:after="0" w:line="295" w:lineRule="auto"/>
        <w:ind w:left="1377" w:right="4705" w:hanging="1188"/>
        <w:rPr>
          <w:rFonts w:ascii="Arial" w:eastAsia="Arial" w:hAnsi="Arial" w:cs="Arial"/>
        </w:rPr>
      </w:pPr>
      <w:r w:rsidRPr="00F4505B">
        <w:rPr>
          <w:rFonts w:ascii="Arial" w:eastAsia="Arial" w:hAnsi="Arial" w:cs="Arial"/>
          <w:b/>
        </w:rPr>
        <w:t>To:</w:t>
      </w:r>
      <w:r w:rsidRPr="00F4505B">
        <w:rPr>
          <w:rFonts w:ascii="Arial" w:eastAsia="Arial" w:hAnsi="Arial" w:cs="Arial"/>
          <w:b/>
        </w:rPr>
        <w:tab/>
      </w:r>
      <w:r w:rsidR="00D37665">
        <w:rPr>
          <w:rFonts w:ascii="Arial" w:eastAsia="Arial" w:hAnsi="Arial" w:cs="Arial"/>
        </w:rPr>
        <w:t xml:space="preserve">Megan </w:t>
      </w:r>
      <w:r w:rsidR="00515877">
        <w:rPr>
          <w:rFonts w:ascii="Arial" w:eastAsia="Arial" w:hAnsi="Arial" w:cs="Arial"/>
        </w:rPr>
        <w:t>Layhee</w:t>
      </w:r>
    </w:p>
    <w:p w14:paraId="589C049F" w14:textId="55D3E847" w:rsidR="00F4505B" w:rsidRDefault="00515877" w:rsidP="00F4505B">
      <w:pPr>
        <w:widowControl w:val="0"/>
        <w:autoSpaceDE w:val="0"/>
        <w:autoSpaceDN w:val="0"/>
        <w:spacing w:after="0" w:line="196" w:lineRule="exact"/>
        <w:ind w:left="1377"/>
        <w:rPr>
          <w:rFonts w:ascii="Arial" w:eastAsia="Arial" w:hAnsi="Arial" w:cs="Arial"/>
        </w:rPr>
      </w:pPr>
      <w:r>
        <w:rPr>
          <w:rFonts w:ascii="Arial" w:eastAsia="Arial" w:hAnsi="Arial" w:cs="Arial"/>
        </w:rPr>
        <w:t>Administrator</w:t>
      </w:r>
    </w:p>
    <w:p w14:paraId="746A2951" w14:textId="2C3EEBEE" w:rsidR="00F4505B" w:rsidRPr="00021874" w:rsidRDefault="00515877" w:rsidP="00F4505B">
      <w:pPr>
        <w:widowControl w:val="0"/>
        <w:autoSpaceDE w:val="0"/>
        <w:autoSpaceDN w:val="0"/>
        <w:spacing w:after="0" w:line="196" w:lineRule="exact"/>
        <w:ind w:left="1377"/>
        <w:rPr>
          <w:rFonts w:ascii="Arial" w:eastAsia="Arial" w:hAnsi="Arial" w:cs="Arial"/>
        </w:rPr>
      </w:pPr>
      <w:r w:rsidRPr="00021874">
        <w:rPr>
          <w:rFonts w:ascii="Arial" w:eastAsia="Arial" w:hAnsi="Arial" w:cs="Arial"/>
        </w:rPr>
        <w:t>Amador, Calaveras Consensus Group (ACCG)</w:t>
      </w:r>
    </w:p>
    <w:p w14:paraId="27BFF54C" w14:textId="77777777" w:rsidR="00F4505B" w:rsidRPr="00021874" w:rsidRDefault="00F4505B" w:rsidP="00F4505B">
      <w:pPr>
        <w:widowControl w:val="0"/>
        <w:autoSpaceDE w:val="0"/>
        <w:autoSpaceDN w:val="0"/>
        <w:spacing w:after="0" w:line="240" w:lineRule="auto"/>
        <w:rPr>
          <w:rFonts w:ascii="Arial" w:eastAsia="Arial" w:hAnsi="Arial" w:cs="Arial"/>
        </w:rPr>
      </w:pPr>
    </w:p>
    <w:p w14:paraId="771BE13F" w14:textId="74C44ED2" w:rsidR="00CC1086" w:rsidRDefault="00F4505B" w:rsidP="00F4505B">
      <w:pPr>
        <w:widowControl w:val="0"/>
        <w:tabs>
          <w:tab w:val="left" w:pos="1377"/>
        </w:tabs>
        <w:autoSpaceDE w:val="0"/>
        <w:autoSpaceDN w:val="0"/>
        <w:spacing w:after="0" w:line="240" w:lineRule="auto"/>
        <w:ind w:left="189"/>
        <w:rPr>
          <w:rFonts w:ascii="Arial" w:eastAsia="Arial" w:hAnsi="Arial" w:cs="Arial"/>
          <w:b/>
          <w:position w:val="-5"/>
        </w:rPr>
      </w:pPr>
      <w:r w:rsidRPr="00F4505B">
        <w:rPr>
          <w:rFonts w:ascii="Arial" w:eastAsia="Arial" w:hAnsi="Arial" w:cs="Arial"/>
          <w:b/>
          <w:position w:val="-5"/>
        </w:rPr>
        <w:t>From:</w:t>
      </w:r>
      <w:r w:rsidRPr="00F4505B">
        <w:rPr>
          <w:rFonts w:ascii="Arial" w:eastAsia="Arial" w:hAnsi="Arial" w:cs="Arial"/>
          <w:b/>
          <w:position w:val="-5"/>
        </w:rPr>
        <w:tab/>
      </w:r>
      <w:r w:rsidR="00CC1086">
        <w:rPr>
          <w:rFonts w:ascii="Arial" w:eastAsia="Arial" w:hAnsi="Arial" w:cs="Arial"/>
        </w:rPr>
        <w:t xml:space="preserve">Richard Sykes, UMRWA </w:t>
      </w:r>
      <w:r w:rsidR="006E7210">
        <w:rPr>
          <w:rFonts w:ascii="Arial" w:eastAsia="Arial" w:hAnsi="Arial" w:cs="Arial"/>
        </w:rPr>
        <w:t>Executive Officer</w:t>
      </w:r>
    </w:p>
    <w:p w14:paraId="0A323B9B" w14:textId="3595FD78" w:rsidR="00F4505B" w:rsidRPr="00F4505B" w:rsidRDefault="00CC1086" w:rsidP="00F4505B">
      <w:pPr>
        <w:widowControl w:val="0"/>
        <w:tabs>
          <w:tab w:val="left" w:pos="1377"/>
        </w:tabs>
        <w:autoSpaceDE w:val="0"/>
        <w:autoSpaceDN w:val="0"/>
        <w:spacing w:after="0" w:line="240" w:lineRule="auto"/>
        <w:ind w:left="189"/>
        <w:rPr>
          <w:rFonts w:ascii="Arial" w:eastAsia="Arial" w:hAnsi="Arial" w:cs="Arial"/>
        </w:rPr>
      </w:pPr>
      <w:r>
        <w:rPr>
          <w:rFonts w:ascii="Arial" w:eastAsia="Arial" w:hAnsi="Arial" w:cs="Arial"/>
          <w:b/>
          <w:position w:val="-5"/>
        </w:rPr>
        <w:tab/>
      </w:r>
      <w:bookmarkStart w:id="0" w:name="_Hlk118988208"/>
      <w:r w:rsidR="00F4505B" w:rsidRPr="00F4505B">
        <w:rPr>
          <w:rFonts w:ascii="Arial" w:eastAsia="Arial" w:hAnsi="Arial" w:cs="Arial"/>
        </w:rPr>
        <w:t>Coleen Shade</w:t>
      </w:r>
      <w:r w:rsidR="00515877">
        <w:rPr>
          <w:rFonts w:ascii="Arial" w:eastAsia="Arial" w:hAnsi="Arial" w:cs="Arial"/>
        </w:rPr>
        <w:t xml:space="preserve">, Cardno </w:t>
      </w:r>
      <w:bookmarkEnd w:id="0"/>
    </w:p>
    <w:p w14:paraId="4425585D" w14:textId="6E0C209B" w:rsidR="00F4505B" w:rsidRPr="00F4505B" w:rsidRDefault="00F4505B" w:rsidP="00F4505B">
      <w:pPr>
        <w:widowControl w:val="0"/>
        <w:tabs>
          <w:tab w:val="left" w:pos="1377"/>
        </w:tabs>
        <w:autoSpaceDE w:val="0"/>
        <w:autoSpaceDN w:val="0"/>
        <w:spacing w:before="100" w:after="0" w:line="192" w:lineRule="auto"/>
        <w:ind w:left="1377" w:hanging="1188"/>
        <w:outlineLvl w:val="0"/>
        <w:rPr>
          <w:rFonts w:ascii="Arial" w:eastAsia="Arial" w:hAnsi="Arial" w:cs="Arial"/>
          <w:b/>
        </w:rPr>
      </w:pPr>
      <w:r>
        <w:rPr>
          <w:rFonts w:ascii="Arial" w:eastAsia="Arial" w:hAnsi="Arial" w:cs="Arial"/>
          <w:b/>
          <w:bCs/>
          <w:position w:val="-12"/>
        </w:rPr>
        <w:t>RE:</w:t>
      </w:r>
      <w:r>
        <w:rPr>
          <w:rFonts w:ascii="Arial" w:eastAsia="Arial" w:hAnsi="Arial" w:cs="Arial"/>
          <w:b/>
          <w:bCs/>
          <w:position w:val="-12"/>
        </w:rPr>
        <w:tab/>
      </w:r>
      <w:r w:rsidR="00515877">
        <w:rPr>
          <w:rFonts w:ascii="Arial" w:eastAsia="Arial" w:hAnsi="Arial" w:cs="Arial"/>
          <w:b/>
          <w:bCs/>
          <w:position w:val="-12"/>
        </w:rPr>
        <w:t xml:space="preserve">Consideration by the ACCG to Host the UMRWA Phase 2 Forest Planning Project Stakeholder Process as a Regularly Occurring Item of the Planning Working Group Agenda </w:t>
      </w:r>
    </w:p>
    <w:p w14:paraId="67BBC452" w14:textId="77777777" w:rsidR="00732EE2" w:rsidRDefault="00732EE2" w:rsidP="00732EE2">
      <w:pPr>
        <w:rPr>
          <w:u w:val="single"/>
        </w:rPr>
      </w:pPr>
    </w:p>
    <w:p w14:paraId="23F8ABBA" w14:textId="3A1C3C40" w:rsidR="009E565B" w:rsidRDefault="00CC1086" w:rsidP="00FA6BAD">
      <w:pPr>
        <w:spacing w:after="0" w:line="240" w:lineRule="auto"/>
      </w:pPr>
      <w:r>
        <w:t xml:space="preserve">The Upper Mokelumne River Watershed Authority (UMRWA) </w:t>
      </w:r>
      <w:r w:rsidR="00666F67">
        <w:t xml:space="preserve">and the USFS </w:t>
      </w:r>
      <w:r>
        <w:t xml:space="preserve">is initiating planning efforts for the </w:t>
      </w:r>
      <w:r w:rsidR="00336BC7">
        <w:t xml:space="preserve">Forests Projects Plan, </w:t>
      </w:r>
      <w:r>
        <w:t>Phase 2</w:t>
      </w:r>
      <w:r w:rsidR="00336BC7">
        <w:t xml:space="preserve"> </w:t>
      </w:r>
      <w:r w:rsidR="009E565B">
        <w:t>(Phase 2)</w:t>
      </w:r>
      <w:r>
        <w:t xml:space="preserve">.  </w:t>
      </w:r>
      <w:r w:rsidR="009E565B">
        <w:t>Included in these efforts is the convening of a Stakeholder Group that will meet quarterly through the duration of the Phase 2 Project</w:t>
      </w:r>
      <w:r w:rsidR="004B72A9">
        <w:t xml:space="preserve"> (approximately 2 to 3 years)</w:t>
      </w:r>
      <w:r w:rsidR="009E565B">
        <w:t>.</w:t>
      </w:r>
    </w:p>
    <w:p w14:paraId="6885A33E" w14:textId="77777777" w:rsidR="009E565B" w:rsidRDefault="009E565B" w:rsidP="00FA6BAD">
      <w:pPr>
        <w:spacing w:after="0" w:line="240" w:lineRule="auto"/>
      </w:pPr>
    </w:p>
    <w:p w14:paraId="5B7BE8D6" w14:textId="75D4E516" w:rsidR="00315A64" w:rsidRDefault="009E565B" w:rsidP="00FA6BAD">
      <w:pPr>
        <w:spacing w:after="0" w:line="240" w:lineRule="auto"/>
      </w:pPr>
      <w:r>
        <w:t xml:space="preserve">We are looking for strategies to </w:t>
      </w:r>
      <w:r w:rsidR="00315A64">
        <w:t xml:space="preserve">combine efforts where we </w:t>
      </w:r>
      <w:r w:rsidR="00021874">
        <w:t>can,</w:t>
      </w:r>
      <w:r w:rsidR="00315A64">
        <w:t xml:space="preserve"> so we don’t over</w:t>
      </w:r>
      <w:r w:rsidR="00336BC7">
        <w:t>-</w:t>
      </w:r>
      <w:r w:rsidR="00315A64">
        <w:t>tax participants with meetings.  We know that Phase 2 is of high interest</w:t>
      </w:r>
      <w:r w:rsidR="006E7210">
        <w:t>/importance</w:t>
      </w:r>
      <w:r w:rsidR="00315A64">
        <w:t xml:space="preserve"> to the ACCG and so the opportunity to combine your efforts with an expanded stakeholder engagement process seems like a strategy that might work. </w:t>
      </w:r>
    </w:p>
    <w:p w14:paraId="108AD764" w14:textId="77777777" w:rsidR="00315A64" w:rsidRDefault="00315A64" w:rsidP="00FA6BAD">
      <w:pPr>
        <w:spacing w:after="0" w:line="240" w:lineRule="auto"/>
      </w:pPr>
    </w:p>
    <w:p w14:paraId="3E51B236" w14:textId="7086EC8C" w:rsidR="00F457BC" w:rsidRDefault="00315A64" w:rsidP="00FA6BAD">
      <w:pPr>
        <w:spacing w:after="0" w:line="240" w:lineRule="auto"/>
      </w:pPr>
      <w:r>
        <w:t xml:space="preserve">Our request </w:t>
      </w:r>
      <w:r w:rsidR="006E7210">
        <w:t xml:space="preserve">of the ACCG is to </w:t>
      </w:r>
      <w:r w:rsidR="00336BC7">
        <w:t xml:space="preserve">authorize UMRWA to use </w:t>
      </w:r>
      <w:r w:rsidR="00F457BC">
        <w:t xml:space="preserve">the ACCG </w:t>
      </w:r>
      <w:r w:rsidR="004B72A9">
        <w:t>Planning</w:t>
      </w:r>
      <w:r w:rsidR="00F457BC">
        <w:t xml:space="preserve"> Workgroup meetings (on a quarterly basis) to </w:t>
      </w:r>
      <w:r w:rsidR="006E7210">
        <w:t xml:space="preserve">provide a forum for </w:t>
      </w:r>
      <w:r w:rsidR="004B72A9">
        <w:t>formal S</w:t>
      </w:r>
      <w:r w:rsidR="006E7210">
        <w:t xml:space="preserve">takeholder </w:t>
      </w:r>
      <w:r w:rsidR="004B72A9">
        <w:t>G</w:t>
      </w:r>
      <w:r w:rsidR="006E7210">
        <w:t>roup</w:t>
      </w:r>
      <w:r w:rsidR="00F457BC">
        <w:t xml:space="preserve"> for Phase 2.  We believe this would be an efficient way </w:t>
      </w:r>
      <w:r w:rsidR="00336BC7">
        <w:t xml:space="preserve">to engage the </w:t>
      </w:r>
      <w:r w:rsidR="00F457BC">
        <w:t>Planning W</w:t>
      </w:r>
      <w:r w:rsidR="00336BC7">
        <w:t xml:space="preserve">orkgroup, ACCG </w:t>
      </w:r>
      <w:r w:rsidR="00F457BC">
        <w:t xml:space="preserve">general </w:t>
      </w:r>
      <w:r w:rsidR="00336BC7">
        <w:t xml:space="preserve">membership and others such as local </w:t>
      </w:r>
      <w:r w:rsidR="006E7210">
        <w:t>Fire Safe Council</w:t>
      </w:r>
      <w:r w:rsidR="00336BC7">
        <w:t>s</w:t>
      </w:r>
      <w:r w:rsidR="006E7210">
        <w:t xml:space="preserve">, Resource Conservation Districts, </w:t>
      </w:r>
      <w:r w:rsidR="004B72A9">
        <w:t xml:space="preserve">the </w:t>
      </w:r>
      <w:r w:rsidR="00336BC7">
        <w:t xml:space="preserve">Sierra Business Council, </w:t>
      </w:r>
      <w:r w:rsidR="006E7210">
        <w:t>etc.</w:t>
      </w:r>
      <w:r w:rsidR="00336BC7">
        <w:t xml:space="preserve"> to inform them about </w:t>
      </w:r>
      <w:r w:rsidR="00502C2D">
        <w:t xml:space="preserve">the Phase 2 project </w:t>
      </w:r>
      <w:r w:rsidR="00336BC7">
        <w:t>and to receive input as this planning effort is</w:t>
      </w:r>
      <w:r w:rsidR="00502C2D">
        <w:t xml:space="preserve"> being developed</w:t>
      </w:r>
      <w:r w:rsidR="00336BC7">
        <w:t xml:space="preserve"> and completed</w:t>
      </w:r>
      <w:r w:rsidR="00502C2D">
        <w:t xml:space="preserve">.  </w:t>
      </w:r>
    </w:p>
    <w:p w14:paraId="413FFE80" w14:textId="77777777" w:rsidR="00F457BC" w:rsidRDefault="00F457BC" w:rsidP="00FA6BAD">
      <w:pPr>
        <w:spacing w:after="0" w:line="240" w:lineRule="auto"/>
      </w:pPr>
    </w:p>
    <w:p w14:paraId="45B6D64D" w14:textId="3A5CC3D9" w:rsidR="00F457BC" w:rsidRDefault="00F457BC" w:rsidP="00FA6BAD">
      <w:pPr>
        <w:spacing w:after="0" w:line="240" w:lineRule="auto"/>
      </w:pPr>
      <w:r>
        <w:t xml:space="preserve">The specific charge of the Stakeholder Group would be to review documents provided by the project team, attend the quarterly meetings, and provide comments and feedback for the project team.  </w:t>
      </w:r>
    </w:p>
    <w:p w14:paraId="20555C7A" w14:textId="77777777" w:rsidR="00F457BC" w:rsidRDefault="00F457BC" w:rsidP="00FA6BAD">
      <w:pPr>
        <w:spacing w:after="0" w:line="240" w:lineRule="auto"/>
      </w:pPr>
    </w:p>
    <w:p w14:paraId="4C0BAE48" w14:textId="3772A596" w:rsidR="00F457BC" w:rsidRDefault="00F457BC" w:rsidP="00FA6BAD">
      <w:pPr>
        <w:spacing w:after="0" w:line="240" w:lineRule="auto"/>
      </w:pPr>
      <w:r>
        <w:t xml:space="preserve">Like </w:t>
      </w:r>
      <w:r w:rsidR="004B72A9">
        <w:t xml:space="preserve">the Forest Project Plan </w:t>
      </w:r>
      <w:r>
        <w:t xml:space="preserve">Phase 1, the goal in Phase 2 is to have broad support with stakeholders and interested parties. and to move forward with consensus support from the ACCG.  </w:t>
      </w:r>
    </w:p>
    <w:p w14:paraId="2B326CFE" w14:textId="77777777" w:rsidR="00F457BC" w:rsidRDefault="00F457BC" w:rsidP="00FA6BAD">
      <w:pPr>
        <w:spacing w:after="0" w:line="240" w:lineRule="auto"/>
      </w:pPr>
    </w:p>
    <w:p w14:paraId="1803B4C2" w14:textId="4EB6FBC0" w:rsidR="002A06FB" w:rsidRDefault="00F457BC" w:rsidP="002A06FB">
      <w:r>
        <w:t>The Stakeholder Group would operate under the following parameters:</w:t>
      </w:r>
    </w:p>
    <w:p w14:paraId="353319DF" w14:textId="0E27950B" w:rsidR="002A06FB" w:rsidRDefault="002A06FB" w:rsidP="002A06FB">
      <w:pPr>
        <w:pStyle w:val="ListParagraph"/>
        <w:numPr>
          <w:ilvl w:val="0"/>
          <w:numId w:val="11"/>
        </w:numPr>
      </w:pPr>
      <w:r>
        <w:t>On a quarterly basis, there would be a Phase 2 stakeholder meeting incorporated into the Planning Work Group monthly meeting, generally at the end of the meeting or as directed by the Planning Work Group.</w:t>
      </w:r>
    </w:p>
    <w:p w14:paraId="4A26DB54" w14:textId="2A6C6956" w:rsidR="002A06FB" w:rsidRDefault="002A06FB" w:rsidP="002A06FB">
      <w:pPr>
        <w:pStyle w:val="ListParagraph"/>
        <w:numPr>
          <w:ilvl w:val="0"/>
          <w:numId w:val="11"/>
        </w:numPr>
      </w:pPr>
      <w:r>
        <w:t>Consistent with current practices, all ACCG members would receive the meeting materials for the ACCG Planning Work Group and they would be invited to attend.</w:t>
      </w:r>
    </w:p>
    <w:p w14:paraId="6609D9B9" w14:textId="070CD908" w:rsidR="002A06FB" w:rsidRDefault="002A06FB" w:rsidP="002A06FB">
      <w:pPr>
        <w:pStyle w:val="ListParagraph"/>
        <w:numPr>
          <w:ilvl w:val="0"/>
          <w:numId w:val="11"/>
        </w:numPr>
      </w:pPr>
      <w:r>
        <w:lastRenderedPageBreak/>
        <w:t xml:space="preserve">Phase 2 Stakeholders </w:t>
      </w:r>
      <w:r w:rsidR="00021874">
        <w:t>identified</w:t>
      </w:r>
      <w:r>
        <w:t xml:space="preserve"> by the Phase 2 Team (who are not currently on the ACCG or its mailing list) would be invited to attend the Planning WG portion of the meeting devoted to Phase 2. </w:t>
      </w:r>
    </w:p>
    <w:p w14:paraId="5EB1A1F4" w14:textId="5FB8DC58" w:rsidR="002A06FB" w:rsidRDefault="002A06FB" w:rsidP="002A06FB">
      <w:pPr>
        <w:pStyle w:val="ListParagraph"/>
        <w:numPr>
          <w:ilvl w:val="0"/>
          <w:numId w:val="11"/>
        </w:numPr>
      </w:pPr>
      <w:r>
        <w:t xml:space="preserve">The Phase 2 project team would continue to provide regular briefings at the ACCG General Meeting on Phase 2 progress.  </w:t>
      </w:r>
    </w:p>
    <w:p w14:paraId="51EA1580" w14:textId="616CADEB" w:rsidR="002A06FB" w:rsidRDefault="002A06FB" w:rsidP="002A06FB">
      <w:pPr>
        <w:pStyle w:val="ListParagraph"/>
        <w:numPr>
          <w:ilvl w:val="0"/>
          <w:numId w:val="11"/>
        </w:numPr>
      </w:pPr>
      <w:r>
        <w:t>The Stakeholder Meeting portion of the Planning Work Group is not expected to exceed more than two hours maximum unless the Stakeholder Group or the Planning Work Group identifies that more time is needed.</w:t>
      </w:r>
    </w:p>
    <w:p w14:paraId="2158FE38" w14:textId="0AF766EE" w:rsidR="002A06FB" w:rsidRDefault="002A06FB" w:rsidP="002A06FB">
      <w:pPr>
        <w:pStyle w:val="ListParagraph"/>
        <w:numPr>
          <w:ilvl w:val="0"/>
          <w:numId w:val="11"/>
        </w:numPr>
      </w:pPr>
      <w:r>
        <w:t>The Stakeholder Meeting portion of the Planning Work Group will be facilitated by the Phase 2 Project Team and will not require any time from ACCG administrator or facilitator (thus imposing no financial burden to ACCG).</w:t>
      </w:r>
      <w:r w:rsidR="00666F67">
        <w:t xml:space="preserve">   This facilitation will include preparation of agendas, circulation of Stakeholder Meeting summaries and following up on any action items from the Stakeholder meetings.</w:t>
      </w:r>
    </w:p>
    <w:p w14:paraId="714ABA61" w14:textId="64903356" w:rsidR="002A06FB" w:rsidRDefault="00666F67" w:rsidP="002A06FB">
      <w:pPr>
        <w:pStyle w:val="ListParagraph"/>
        <w:numPr>
          <w:ilvl w:val="0"/>
          <w:numId w:val="11"/>
        </w:numPr>
      </w:pPr>
      <w:r>
        <w:t xml:space="preserve">The Stakeholder Group members who are not currently members of the ACCG will not be considered members of the ACCG unless they formally sign the </w:t>
      </w:r>
      <w:r w:rsidR="007C12ED">
        <w:t>MOA</w:t>
      </w:r>
      <w:r>
        <w:t>.</w:t>
      </w:r>
    </w:p>
    <w:p w14:paraId="48BC32C5" w14:textId="3508A0D2" w:rsidR="00666F67" w:rsidRDefault="00666F67" w:rsidP="002A06FB">
      <w:pPr>
        <w:pStyle w:val="ListParagraph"/>
        <w:numPr>
          <w:ilvl w:val="0"/>
          <w:numId w:val="11"/>
        </w:numPr>
      </w:pPr>
      <w:r>
        <w:t>The Phase 2 Project Team may brief the ACCG Planning Work Group independent of the full Stakeholder Group as appropriate based on Planning Work Group or ACCG input.</w:t>
      </w:r>
    </w:p>
    <w:p w14:paraId="1CB4542D" w14:textId="595F20F2" w:rsidR="00F457BC" w:rsidRDefault="00666F67" w:rsidP="00021874">
      <w:pPr>
        <w:pStyle w:val="ListParagraph"/>
      </w:pPr>
      <w:r>
        <w:t xml:space="preserve">The Phase 2 Team anticipates that Stakeholders will require no more than 1 hour of preparation per session to review materials prior to a meeting.  </w:t>
      </w:r>
    </w:p>
    <w:p w14:paraId="110487FB" w14:textId="4938906A" w:rsidR="00666F67" w:rsidRDefault="00666F67" w:rsidP="00D9395E">
      <w:pPr>
        <w:pStyle w:val="ListParagraph"/>
        <w:numPr>
          <w:ilvl w:val="0"/>
          <w:numId w:val="8"/>
        </w:numPr>
        <w:spacing w:after="0" w:line="240" w:lineRule="auto"/>
      </w:pPr>
      <w:r>
        <w:t>The Phase 2 Project Team will be developing a Stakeholder Group Charter noting expectations and responsibilities of the Group members.</w:t>
      </w:r>
    </w:p>
    <w:p w14:paraId="0B6E9D06" w14:textId="7C695303" w:rsidR="004B72A9" w:rsidRDefault="004B72A9" w:rsidP="00666F67">
      <w:pPr>
        <w:pStyle w:val="ListParagraph"/>
        <w:spacing w:after="0" w:line="240" w:lineRule="auto"/>
      </w:pPr>
    </w:p>
    <w:p w14:paraId="6FA28A8E" w14:textId="2E556953" w:rsidR="004B72A9" w:rsidRDefault="004B72A9" w:rsidP="00666F67">
      <w:pPr>
        <w:pStyle w:val="ListParagraph"/>
        <w:spacing w:after="0" w:line="240" w:lineRule="auto"/>
      </w:pPr>
    </w:p>
    <w:p w14:paraId="1DB67044" w14:textId="7FB71AFC" w:rsidR="004B72A9" w:rsidRDefault="004B72A9" w:rsidP="004B72A9">
      <w:pPr>
        <w:spacing w:after="0" w:line="240" w:lineRule="auto"/>
      </w:pPr>
      <w:r>
        <w:t>We believe this approach may be efficient for both the ACCG, the Planning Work Group and the Phase 2 Project team.  It may also serve to support some of the goals in the ACCG Communication and Outreach Plan.  It is consistent with one of the ACCG’s 2022 priorities to support the Forest Projects Plan.</w:t>
      </w:r>
    </w:p>
    <w:p w14:paraId="2E93439D" w14:textId="6295A07F" w:rsidR="004B72A9" w:rsidRDefault="004B72A9" w:rsidP="004B72A9">
      <w:pPr>
        <w:spacing w:after="0" w:line="240" w:lineRule="auto"/>
      </w:pPr>
    </w:p>
    <w:p w14:paraId="213B0666" w14:textId="47CDD2FA" w:rsidR="004B72A9" w:rsidRDefault="004B72A9" w:rsidP="00021874">
      <w:pPr>
        <w:spacing w:after="0" w:line="240" w:lineRule="auto"/>
      </w:pPr>
      <w:r>
        <w:t xml:space="preserve">The Phase 2 Project Team looks forward to discussing this with the ACCG at its November 16 meeting.  </w:t>
      </w:r>
    </w:p>
    <w:p w14:paraId="72324071" w14:textId="77777777" w:rsidR="004B72A9" w:rsidRDefault="004B72A9" w:rsidP="00021874">
      <w:pPr>
        <w:pStyle w:val="ListParagraph"/>
        <w:spacing w:after="0" w:line="240" w:lineRule="auto"/>
      </w:pPr>
    </w:p>
    <w:p w14:paraId="5EE23993" w14:textId="77777777" w:rsidR="001C332C" w:rsidRDefault="001C332C" w:rsidP="00021874">
      <w:pPr>
        <w:pStyle w:val="ListParagraph"/>
        <w:spacing w:after="0" w:line="240" w:lineRule="auto"/>
      </w:pPr>
    </w:p>
    <w:sectPr w:rsidR="001C332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37662" w14:textId="77777777" w:rsidR="009878CA" w:rsidRDefault="009878CA" w:rsidP="008D1FCD">
      <w:pPr>
        <w:spacing w:after="0" w:line="240" w:lineRule="auto"/>
      </w:pPr>
      <w:r>
        <w:separator/>
      </w:r>
    </w:p>
  </w:endnote>
  <w:endnote w:type="continuationSeparator" w:id="0">
    <w:p w14:paraId="10823401" w14:textId="77777777" w:rsidR="009878CA" w:rsidRDefault="009878CA" w:rsidP="008D1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492778"/>
      <w:docPartObj>
        <w:docPartGallery w:val="Page Numbers (Bottom of Page)"/>
        <w:docPartUnique/>
      </w:docPartObj>
    </w:sdtPr>
    <w:sdtEndPr>
      <w:rPr>
        <w:noProof/>
      </w:rPr>
    </w:sdtEndPr>
    <w:sdtContent>
      <w:p w14:paraId="51C5E069" w14:textId="77777777" w:rsidR="006D36A9" w:rsidRDefault="006D36A9">
        <w:pPr>
          <w:pStyle w:val="Footer"/>
        </w:pPr>
        <w:r>
          <w:fldChar w:fldCharType="begin"/>
        </w:r>
        <w:r>
          <w:instrText xml:space="preserve"> PAGE   \* MERGEFORMAT </w:instrText>
        </w:r>
        <w:r>
          <w:fldChar w:fldCharType="separate"/>
        </w:r>
        <w:r w:rsidR="009C5E9F">
          <w:rPr>
            <w:noProof/>
          </w:rPr>
          <w:t>1</w:t>
        </w:r>
        <w:r>
          <w:rPr>
            <w:noProof/>
          </w:rPr>
          <w:fldChar w:fldCharType="end"/>
        </w:r>
      </w:p>
    </w:sdtContent>
  </w:sdt>
  <w:p w14:paraId="2F3F0BFA" w14:textId="4E02F9CD" w:rsidR="006D36A9" w:rsidRDefault="00515877">
    <w:pPr>
      <w:pStyle w:val="Footer"/>
    </w:pPr>
    <w:r>
      <w:t xml:space="preserve">UMRWA’s </w:t>
    </w:r>
    <w:r w:rsidR="00930815">
      <w:t>R</w:t>
    </w:r>
    <w:r>
      <w:t xml:space="preserve">equest of the ACCG to Host Phase 2 Stakeholder </w:t>
    </w:r>
    <w:r w:rsidR="00930815">
      <w:t>Sessions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F402F" w14:textId="77777777" w:rsidR="009878CA" w:rsidRDefault="009878CA" w:rsidP="008D1FCD">
      <w:pPr>
        <w:spacing w:after="0" w:line="240" w:lineRule="auto"/>
      </w:pPr>
      <w:r>
        <w:separator/>
      </w:r>
    </w:p>
  </w:footnote>
  <w:footnote w:type="continuationSeparator" w:id="0">
    <w:p w14:paraId="38F77F79" w14:textId="77777777" w:rsidR="009878CA" w:rsidRDefault="009878CA" w:rsidP="008D1F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5C86"/>
    <w:multiLevelType w:val="hybridMultilevel"/>
    <w:tmpl w:val="69E04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E4271"/>
    <w:multiLevelType w:val="hybridMultilevel"/>
    <w:tmpl w:val="43323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93443C"/>
    <w:multiLevelType w:val="hybridMultilevel"/>
    <w:tmpl w:val="D25CBA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B1E95"/>
    <w:multiLevelType w:val="hybridMultilevel"/>
    <w:tmpl w:val="E6FE3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A2463"/>
    <w:multiLevelType w:val="hybridMultilevel"/>
    <w:tmpl w:val="6246A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914C8E"/>
    <w:multiLevelType w:val="hybridMultilevel"/>
    <w:tmpl w:val="6C64B8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E6051E7"/>
    <w:multiLevelType w:val="hybridMultilevel"/>
    <w:tmpl w:val="9710B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C46C7E"/>
    <w:multiLevelType w:val="hybridMultilevel"/>
    <w:tmpl w:val="34A61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143EDB"/>
    <w:multiLevelType w:val="hybridMultilevel"/>
    <w:tmpl w:val="520C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70624C"/>
    <w:multiLevelType w:val="hybridMultilevel"/>
    <w:tmpl w:val="A508A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73516825">
    <w:abstractNumId w:val="1"/>
  </w:num>
  <w:num w:numId="2" w16cid:durableId="1898124159">
    <w:abstractNumId w:val="0"/>
  </w:num>
  <w:num w:numId="3" w16cid:durableId="1871869820">
    <w:abstractNumId w:val="7"/>
  </w:num>
  <w:num w:numId="4" w16cid:durableId="549658156">
    <w:abstractNumId w:val="1"/>
  </w:num>
  <w:num w:numId="5" w16cid:durableId="84620057">
    <w:abstractNumId w:val="4"/>
  </w:num>
  <w:num w:numId="6" w16cid:durableId="962348981">
    <w:abstractNumId w:val="5"/>
  </w:num>
  <w:num w:numId="7" w16cid:durableId="974290931">
    <w:abstractNumId w:val="9"/>
  </w:num>
  <w:num w:numId="8" w16cid:durableId="1727603293">
    <w:abstractNumId w:val="2"/>
  </w:num>
  <w:num w:numId="9" w16cid:durableId="1495223990">
    <w:abstractNumId w:val="6"/>
  </w:num>
  <w:num w:numId="10" w16cid:durableId="1956522190">
    <w:abstractNumId w:val="3"/>
  </w:num>
  <w:num w:numId="11" w16cid:durableId="8719614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EE2"/>
    <w:rsid w:val="00021874"/>
    <w:rsid w:val="00077469"/>
    <w:rsid w:val="001622A4"/>
    <w:rsid w:val="001A7BA9"/>
    <w:rsid w:val="001C332C"/>
    <w:rsid w:val="002A06FB"/>
    <w:rsid w:val="00315A64"/>
    <w:rsid w:val="00336BC7"/>
    <w:rsid w:val="003762CA"/>
    <w:rsid w:val="00433159"/>
    <w:rsid w:val="00496C19"/>
    <w:rsid w:val="004B72A9"/>
    <w:rsid w:val="004F7E79"/>
    <w:rsid w:val="00502C2D"/>
    <w:rsid w:val="00515877"/>
    <w:rsid w:val="00624E6A"/>
    <w:rsid w:val="00666F67"/>
    <w:rsid w:val="006B393A"/>
    <w:rsid w:val="006D36A9"/>
    <w:rsid w:val="006E7210"/>
    <w:rsid w:val="00711753"/>
    <w:rsid w:val="00732EE2"/>
    <w:rsid w:val="0075380D"/>
    <w:rsid w:val="0075648C"/>
    <w:rsid w:val="00787786"/>
    <w:rsid w:val="007C12ED"/>
    <w:rsid w:val="007C63FA"/>
    <w:rsid w:val="00806BFD"/>
    <w:rsid w:val="00813352"/>
    <w:rsid w:val="00830751"/>
    <w:rsid w:val="008B6E5B"/>
    <w:rsid w:val="008D1FCD"/>
    <w:rsid w:val="00930815"/>
    <w:rsid w:val="009878CA"/>
    <w:rsid w:val="00993C6D"/>
    <w:rsid w:val="009969CF"/>
    <w:rsid w:val="009C5E9F"/>
    <w:rsid w:val="009E565B"/>
    <w:rsid w:val="00BD655A"/>
    <w:rsid w:val="00C3501D"/>
    <w:rsid w:val="00CC1086"/>
    <w:rsid w:val="00D35A9C"/>
    <w:rsid w:val="00D37665"/>
    <w:rsid w:val="00D9395E"/>
    <w:rsid w:val="00EA268B"/>
    <w:rsid w:val="00F4505B"/>
    <w:rsid w:val="00F457BC"/>
    <w:rsid w:val="00F63106"/>
    <w:rsid w:val="00FA0146"/>
    <w:rsid w:val="00FA6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09856"/>
  <w15:chartTrackingRefBased/>
  <w15:docId w15:val="{9BA701AA-9E23-4C1C-B2DF-743734C31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46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EE2"/>
    <w:pPr>
      <w:ind w:left="720"/>
      <w:contextualSpacing/>
    </w:pPr>
  </w:style>
  <w:style w:type="paragraph" w:styleId="Header">
    <w:name w:val="header"/>
    <w:basedOn w:val="Normal"/>
    <w:link w:val="HeaderChar"/>
    <w:uiPriority w:val="99"/>
    <w:unhideWhenUsed/>
    <w:rsid w:val="008D1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FCD"/>
  </w:style>
  <w:style w:type="paragraph" w:styleId="Footer">
    <w:name w:val="footer"/>
    <w:basedOn w:val="Normal"/>
    <w:link w:val="FooterChar"/>
    <w:uiPriority w:val="99"/>
    <w:unhideWhenUsed/>
    <w:rsid w:val="008D1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FCD"/>
  </w:style>
  <w:style w:type="character" w:styleId="CommentReference">
    <w:name w:val="annotation reference"/>
    <w:basedOn w:val="DefaultParagraphFont"/>
    <w:uiPriority w:val="99"/>
    <w:semiHidden/>
    <w:unhideWhenUsed/>
    <w:rsid w:val="001C332C"/>
    <w:rPr>
      <w:sz w:val="16"/>
      <w:szCs w:val="16"/>
    </w:rPr>
  </w:style>
  <w:style w:type="paragraph" w:styleId="CommentText">
    <w:name w:val="annotation text"/>
    <w:basedOn w:val="Normal"/>
    <w:link w:val="CommentTextChar"/>
    <w:uiPriority w:val="99"/>
    <w:unhideWhenUsed/>
    <w:rsid w:val="001C332C"/>
    <w:pPr>
      <w:spacing w:line="240" w:lineRule="auto"/>
    </w:pPr>
    <w:rPr>
      <w:sz w:val="20"/>
      <w:szCs w:val="20"/>
    </w:rPr>
  </w:style>
  <w:style w:type="character" w:customStyle="1" w:styleId="CommentTextChar">
    <w:name w:val="Comment Text Char"/>
    <w:basedOn w:val="DefaultParagraphFont"/>
    <w:link w:val="CommentText"/>
    <w:uiPriority w:val="99"/>
    <w:rsid w:val="001C332C"/>
    <w:rPr>
      <w:sz w:val="20"/>
      <w:szCs w:val="20"/>
    </w:rPr>
  </w:style>
  <w:style w:type="paragraph" w:styleId="CommentSubject">
    <w:name w:val="annotation subject"/>
    <w:basedOn w:val="CommentText"/>
    <w:next w:val="CommentText"/>
    <w:link w:val="CommentSubjectChar"/>
    <w:uiPriority w:val="99"/>
    <w:semiHidden/>
    <w:unhideWhenUsed/>
    <w:rsid w:val="001C332C"/>
    <w:rPr>
      <w:b/>
      <w:bCs/>
    </w:rPr>
  </w:style>
  <w:style w:type="character" w:customStyle="1" w:styleId="CommentSubjectChar">
    <w:name w:val="Comment Subject Char"/>
    <w:basedOn w:val="CommentTextChar"/>
    <w:link w:val="CommentSubject"/>
    <w:uiPriority w:val="99"/>
    <w:semiHidden/>
    <w:rsid w:val="001C332C"/>
    <w:rPr>
      <w:b/>
      <w:bCs/>
      <w:sz w:val="20"/>
      <w:szCs w:val="20"/>
    </w:rPr>
  </w:style>
  <w:style w:type="paragraph" w:styleId="Revision">
    <w:name w:val="Revision"/>
    <w:hidden/>
    <w:uiPriority w:val="99"/>
    <w:semiHidden/>
    <w:rsid w:val="00336B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142613">
      <w:bodyDiv w:val="1"/>
      <w:marLeft w:val="0"/>
      <w:marRight w:val="0"/>
      <w:marTop w:val="0"/>
      <w:marBottom w:val="0"/>
      <w:divBdr>
        <w:top w:val="none" w:sz="0" w:space="0" w:color="auto"/>
        <w:left w:val="none" w:sz="0" w:space="0" w:color="auto"/>
        <w:bottom w:val="none" w:sz="0" w:space="0" w:color="auto"/>
        <w:right w:val="none" w:sz="0" w:space="0" w:color="auto"/>
      </w:divBdr>
    </w:div>
    <w:div w:id="1481386597">
      <w:bodyDiv w:val="1"/>
      <w:marLeft w:val="0"/>
      <w:marRight w:val="0"/>
      <w:marTop w:val="0"/>
      <w:marBottom w:val="0"/>
      <w:divBdr>
        <w:top w:val="none" w:sz="0" w:space="0" w:color="auto"/>
        <w:left w:val="none" w:sz="0" w:space="0" w:color="auto"/>
        <w:bottom w:val="none" w:sz="0" w:space="0" w:color="auto"/>
        <w:right w:val="none" w:sz="0" w:space="0" w:color="auto"/>
      </w:divBdr>
    </w:div>
    <w:div w:id="185357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Cardno</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Coleen Shade</dc:creator>
  <cp:keywords/>
  <dc:description/>
  <cp:lastModifiedBy>Megan Layhee</cp:lastModifiedBy>
  <cp:revision>3</cp:revision>
  <dcterms:created xsi:type="dcterms:W3CDTF">2022-11-11T16:52:00Z</dcterms:created>
  <dcterms:modified xsi:type="dcterms:W3CDTF">2022-11-11T16:53:00Z</dcterms:modified>
</cp:coreProperties>
</file>