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690" w14:textId="3BCACA78" w:rsidR="00B93568" w:rsidRPr="00CD42D7" w:rsidRDefault="00B93568">
      <w:pPr>
        <w:rPr>
          <w:b/>
          <w:bCs/>
          <w:sz w:val="20"/>
          <w:szCs w:val="20"/>
        </w:rPr>
      </w:pPr>
      <w:r w:rsidRPr="00CD42D7">
        <w:rPr>
          <w:b/>
          <w:bCs/>
          <w:sz w:val="20"/>
          <w:szCs w:val="20"/>
        </w:rPr>
        <w:t xml:space="preserve">2023 ACCG Strengths, Weaknesses, Opportunities, and Threats (SWOT) Analysis </w:t>
      </w:r>
      <w:r w:rsidR="00CD42D7" w:rsidRPr="00CD42D7">
        <w:rPr>
          <w:b/>
          <w:bCs/>
          <w:sz w:val="20"/>
          <w:szCs w:val="20"/>
        </w:rPr>
        <w:tab/>
      </w:r>
    </w:p>
    <w:p w14:paraId="1B1EB06D" w14:textId="38577FE1" w:rsidR="00734B6F" w:rsidRPr="002D60D3" w:rsidRDefault="002D60D3" w:rsidP="00734B6F">
      <w:pPr>
        <w:rPr>
          <w:sz w:val="16"/>
          <w:szCs w:val="16"/>
        </w:rPr>
      </w:pPr>
      <w:r w:rsidRPr="002D60D3">
        <w:rPr>
          <w:sz w:val="16"/>
          <w:szCs w:val="16"/>
        </w:rPr>
        <w:t>The ACCG’s Strengths, Weaknesses, Opportunities, and Threats (SWOT) Analysis forms the basis for determining our current status, deciding where we want to be in five years, and developing our goals for getting there. The SWOT analysis is available on the website (insert link here).</w:t>
      </w:r>
    </w:p>
    <w:tbl>
      <w:tblPr>
        <w:tblStyle w:val="TableGridLight"/>
        <w:tblW w:w="10656" w:type="dxa"/>
        <w:tblLook w:val="04A0" w:firstRow="1" w:lastRow="0" w:firstColumn="1" w:lastColumn="0" w:noHBand="0" w:noVBand="1"/>
      </w:tblPr>
      <w:tblGrid>
        <w:gridCol w:w="5328"/>
        <w:gridCol w:w="5328"/>
      </w:tblGrid>
      <w:tr w:rsidR="00B93568" w:rsidRPr="00B93568" w14:paraId="29398F94" w14:textId="77777777" w:rsidTr="00B7072F">
        <w:trPr>
          <w:trHeight w:val="413"/>
        </w:trPr>
        <w:tc>
          <w:tcPr>
            <w:tcW w:w="5328" w:type="dxa"/>
            <w:shd w:val="clear" w:color="auto" w:fill="D9D9D9" w:themeFill="background1" w:themeFillShade="D9"/>
            <w:vAlign w:val="center"/>
          </w:tcPr>
          <w:p w14:paraId="6FDA7E34" w14:textId="28C66F8B" w:rsidR="00B93568" w:rsidRPr="00B93568" w:rsidRDefault="00B93568" w:rsidP="00B93568">
            <w:pPr>
              <w:jc w:val="center"/>
              <w:rPr>
                <w:rFonts w:cstheme="minorHAnsi"/>
                <w:b/>
                <w:bCs/>
                <w:sz w:val="28"/>
                <w:szCs w:val="28"/>
              </w:rPr>
            </w:pPr>
            <w:r w:rsidRPr="00B93568">
              <w:rPr>
                <w:rFonts w:cstheme="minorHAnsi"/>
                <w:b/>
                <w:bCs/>
                <w:sz w:val="28"/>
                <w:szCs w:val="28"/>
              </w:rPr>
              <w:t>Strengths</w:t>
            </w:r>
          </w:p>
        </w:tc>
        <w:tc>
          <w:tcPr>
            <w:tcW w:w="5328" w:type="dxa"/>
            <w:shd w:val="clear" w:color="auto" w:fill="D9D9D9" w:themeFill="background1" w:themeFillShade="D9"/>
          </w:tcPr>
          <w:p w14:paraId="2C288315" w14:textId="7013A952" w:rsidR="00B93568" w:rsidRPr="00B93568" w:rsidRDefault="00B93568" w:rsidP="00E732BE">
            <w:pPr>
              <w:jc w:val="center"/>
              <w:rPr>
                <w:rFonts w:cstheme="minorHAnsi"/>
                <w:sz w:val="24"/>
                <w:szCs w:val="24"/>
              </w:rPr>
            </w:pPr>
            <w:r>
              <w:rPr>
                <w:rFonts w:cstheme="minorHAnsi"/>
                <w:b/>
                <w:bCs/>
                <w:sz w:val="28"/>
                <w:szCs w:val="28"/>
              </w:rPr>
              <w:t>Weaknesses</w:t>
            </w:r>
          </w:p>
        </w:tc>
      </w:tr>
      <w:tr w:rsidR="00B93568" w:rsidRPr="00B93568" w14:paraId="5D1508B8" w14:textId="77777777" w:rsidTr="00AF3F8C">
        <w:trPr>
          <w:trHeight w:val="3950"/>
        </w:trPr>
        <w:tc>
          <w:tcPr>
            <w:tcW w:w="5328" w:type="dxa"/>
          </w:tcPr>
          <w:p w14:paraId="41463C1D"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Collaborative processes</w:t>
            </w:r>
          </w:p>
          <w:p w14:paraId="3E7CF4EF"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Consensus decisions</w:t>
            </w:r>
          </w:p>
          <w:p w14:paraId="5ACD4AD7" w14:textId="0010D8DC"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 xml:space="preserve">Structure, principles, </w:t>
            </w:r>
            <w:r w:rsidR="00AC5184">
              <w:rPr>
                <w:color w:val="000000"/>
                <w:sz w:val="24"/>
                <w:szCs w:val="24"/>
              </w:rPr>
              <w:t>memorandum of understanding (MOA)</w:t>
            </w:r>
          </w:p>
          <w:p w14:paraId="10BD0807" w14:textId="1E8E6514" w:rsidR="00B93568" w:rsidRPr="00AF3F8C" w:rsidRDefault="00000000" w:rsidP="00AF3F8C">
            <w:pPr>
              <w:widowControl w:val="0"/>
              <w:numPr>
                <w:ilvl w:val="0"/>
                <w:numId w:val="6"/>
              </w:numPr>
              <w:pBdr>
                <w:top w:val="nil"/>
                <w:left w:val="nil"/>
                <w:bottom w:val="nil"/>
                <w:right w:val="nil"/>
                <w:between w:val="nil"/>
              </w:pBdr>
              <w:tabs>
                <w:tab w:val="left" w:pos="828"/>
              </w:tabs>
              <w:rPr>
                <w:color w:val="000000"/>
                <w:sz w:val="24"/>
                <w:szCs w:val="24"/>
              </w:rPr>
            </w:pPr>
            <w:sdt>
              <w:sdtPr>
                <w:rPr>
                  <w:sz w:val="24"/>
                  <w:szCs w:val="24"/>
                </w:rPr>
                <w:tag w:val="goog_rdk_122"/>
                <w:id w:val="-1972667375"/>
              </w:sdtPr>
              <w:sdtContent/>
            </w:sdt>
            <w:r w:rsidR="00B93568" w:rsidRPr="00AF3F8C">
              <w:rPr>
                <w:color w:val="000000"/>
                <w:sz w:val="24"/>
                <w:szCs w:val="24"/>
              </w:rPr>
              <w:t xml:space="preserve">Track record of </w:t>
            </w:r>
            <w:r w:rsidR="00C01D60" w:rsidRPr="00AF3F8C">
              <w:rPr>
                <w:color w:val="000000"/>
                <w:sz w:val="24"/>
                <w:szCs w:val="24"/>
              </w:rPr>
              <w:t xml:space="preserve">engagement and </w:t>
            </w:r>
            <w:r w:rsidR="00B93568" w:rsidRPr="00AF3F8C">
              <w:rPr>
                <w:color w:val="000000"/>
                <w:sz w:val="24"/>
                <w:szCs w:val="24"/>
              </w:rPr>
              <w:t>success</w:t>
            </w:r>
          </w:p>
          <w:p w14:paraId="3EE9B9ED" w14:textId="6692F2AD" w:rsidR="00B93568" w:rsidRPr="00AF3F8C" w:rsidRDefault="006E03C2" w:rsidP="00AF3F8C">
            <w:pPr>
              <w:widowControl w:val="0"/>
              <w:numPr>
                <w:ilvl w:val="0"/>
                <w:numId w:val="6"/>
              </w:numPr>
              <w:pBdr>
                <w:top w:val="nil"/>
                <w:left w:val="nil"/>
                <w:bottom w:val="nil"/>
                <w:right w:val="nil"/>
                <w:between w:val="nil"/>
              </w:pBdr>
              <w:tabs>
                <w:tab w:val="left" w:pos="828"/>
              </w:tabs>
              <w:ind w:right="1359"/>
              <w:rPr>
                <w:color w:val="000000"/>
                <w:sz w:val="24"/>
                <w:szCs w:val="24"/>
              </w:rPr>
            </w:pPr>
            <w:r>
              <w:rPr>
                <w:color w:val="000000"/>
                <w:sz w:val="24"/>
                <w:szCs w:val="24"/>
              </w:rPr>
              <w:t>E</w:t>
            </w:r>
            <w:r w:rsidR="00B93568" w:rsidRPr="00AF3F8C">
              <w:rPr>
                <w:color w:val="000000"/>
                <w:sz w:val="24"/>
                <w:szCs w:val="24"/>
              </w:rPr>
              <w:t>ngagement and involvement</w:t>
            </w:r>
            <w:r>
              <w:rPr>
                <w:color w:val="000000"/>
                <w:sz w:val="24"/>
                <w:szCs w:val="24"/>
              </w:rPr>
              <w:t xml:space="preserve"> with divers</w:t>
            </w:r>
            <w:r w:rsidR="00B26B27">
              <w:rPr>
                <w:color w:val="000000"/>
                <w:sz w:val="24"/>
                <w:szCs w:val="24"/>
              </w:rPr>
              <w:t xml:space="preserve">e </w:t>
            </w:r>
            <w:r>
              <w:rPr>
                <w:color w:val="000000"/>
                <w:sz w:val="24"/>
                <w:szCs w:val="24"/>
              </w:rPr>
              <w:t>groups and individuals</w:t>
            </w:r>
          </w:p>
          <w:p w14:paraId="278E9A95"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Deep understanding of local issues</w:t>
            </w:r>
          </w:p>
          <w:p w14:paraId="24CD05AC" w14:textId="77777777" w:rsidR="00B93568" w:rsidRPr="00AF3F8C" w:rsidRDefault="00B93568" w:rsidP="00AF3F8C">
            <w:pPr>
              <w:widowControl w:val="0"/>
              <w:numPr>
                <w:ilvl w:val="0"/>
                <w:numId w:val="6"/>
              </w:numPr>
              <w:pBdr>
                <w:top w:val="nil"/>
                <w:left w:val="nil"/>
                <w:bottom w:val="nil"/>
                <w:right w:val="nil"/>
                <w:between w:val="nil"/>
              </w:pBdr>
              <w:tabs>
                <w:tab w:val="left" w:pos="828"/>
              </w:tabs>
              <w:ind w:right="256"/>
              <w:rPr>
                <w:color w:val="000000"/>
                <w:sz w:val="24"/>
                <w:szCs w:val="24"/>
              </w:rPr>
            </w:pPr>
            <w:r w:rsidRPr="00AF3F8C">
              <w:rPr>
                <w:color w:val="000000"/>
                <w:sz w:val="24"/>
                <w:szCs w:val="24"/>
              </w:rPr>
              <w:t>Breadth and depth of knowledge among members</w:t>
            </w:r>
          </w:p>
          <w:p w14:paraId="685F4C28"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Diversity of participants and interests</w:t>
            </w:r>
          </w:p>
          <w:p w14:paraId="2AF98EF9" w14:textId="77777777" w:rsidR="00B93568" w:rsidRPr="00AF3F8C" w:rsidRDefault="00B93568" w:rsidP="00AF3F8C">
            <w:pPr>
              <w:widowControl w:val="0"/>
              <w:numPr>
                <w:ilvl w:val="0"/>
                <w:numId w:val="6"/>
              </w:numPr>
              <w:pBdr>
                <w:top w:val="nil"/>
                <w:left w:val="nil"/>
                <w:bottom w:val="nil"/>
                <w:right w:val="nil"/>
                <w:between w:val="nil"/>
              </w:pBdr>
              <w:tabs>
                <w:tab w:val="left" w:pos="828"/>
              </w:tabs>
              <w:ind w:right="310"/>
              <w:rPr>
                <w:color w:val="000000"/>
                <w:sz w:val="24"/>
                <w:szCs w:val="24"/>
              </w:rPr>
            </w:pPr>
            <w:r w:rsidRPr="00AF3F8C">
              <w:rPr>
                <w:color w:val="000000"/>
                <w:sz w:val="24"/>
                <w:szCs w:val="24"/>
              </w:rPr>
              <w:t>Support, appreciation, and engagement of agencies</w:t>
            </w:r>
          </w:p>
          <w:p w14:paraId="325C3B27" w14:textId="443A3872" w:rsidR="00C01D60" w:rsidRPr="00AF3F8C" w:rsidRDefault="00B93568" w:rsidP="00AF3F8C">
            <w:pPr>
              <w:widowControl w:val="0"/>
              <w:numPr>
                <w:ilvl w:val="0"/>
                <w:numId w:val="6"/>
              </w:numPr>
              <w:pBdr>
                <w:top w:val="nil"/>
                <w:left w:val="nil"/>
                <w:bottom w:val="nil"/>
                <w:right w:val="nil"/>
                <w:between w:val="nil"/>
              </w:pBdr>
              <w:tabs>
                <w:tab w:val="left" w:pos="828"/>
              </w:tabs>
              <w:ind w:right="310"/>
              <w:rPr>
                <w:color w:val="000000"/>
                <w:sz w:val="24"/>
                <w:szCs w:val="24"/>
              </w:rPr>
            </w:pPr>
            <w:r w:rsidRPr="00AF3F8C">
              <w:rPr>
                <w:color w:val="000000"/>
                <w:sz w:val="24"/>
                <w:szCs w:val="24"/>
              </w:rPr>
              <w:t>Fostering new partnerships</w:t>
            </w:r>
          </w:p>
        </w:tc>
        <w:tc>
          <w:tcPr>
            <w:tcW w:w="5328" w:type="dxa"/>
          </w:tcPr>
          <w:p w14:paraId="046A24DC" w14:textId="5E8B74D0" w:rsidR="00B93568" w:rsidRPr="00AF3F8C" w:rsidRDefault="00B26B27" w:rsidP="00AF3F8C">
            <w:pPr>
              <w:widowControl w:val="0"/>
              <w:numPr>
                <w:ilvl w:val="0"/>
                <w:numId w:val="7"/>
              </w:numPr>
              <w:pBdr>
                <w:top w:val="nil"/>
                <w:left w:val="nil"/>
                <w:bottom w:val="nil"/>
                <w:right w:val="nil"/>
                <w:between w:val="nil"/>
              </w:pBdr>
              <w:tabs>
                <w:tab w:val="left" w:pos="828"/>
              </w:tabs>
              <w:ind w:right="633"/>
              <w:rPr>
                <w:rFonts w:ascii="Noto Sans Symbols" w:eastAsia="Noto Sans Symbols" w:hAnsi="Noto Sans Symbols" w:cs="Noto Sans Symbols"/>
                <w:color w:val="000000"/>
                <w:sz w:val="25"/>
                <w:szCs w:val="25"/>
              </w:rPr>
            </w:pPr>
            <w:r>
              <w:rPr>
                <w:color w:val="000000"/>
                <w:sz w:val="24"/>
                <w:szCs w:val="24"/>
              </w:rPr>
              <w:t>C</w:t>
            </w:r>
            <w:r w:rsidRPr="00B26B27">
              <w:rPr>
                <w:color w:val="000000"/>
                <w:sz w:val="24"/>
                <w:szCs w:val="24"/>
              </w:rPr>
              <w:t xml:space="preserve">onsensus </w:t>
            </w:r>
            <w:r w:rsidR="00AC5184">
              <w:rPr>
                <w:color w:val="000000"/>
                <w:sz w:val="24"/>
                <w:szCs w:val="24"/>
              </w:rPr>
              <w:t xml:space="preserve">is </w:t>
            </w:r>
            <w:r w:rsidRPr="00B26B27">
              <w:rPr>
                <w:color w:val="000000"/>
                <w:sz w:val="24"/>
                <w:szCs w:val="24"/>
              </w:rPr>
              <w:t xml:space="preserve">difficult to achieve in controversial areas </w:t>
            </w:r>
            <w:r>
              <w:rPr>
                <w:color w:val="000000"/>
                <w:sz w:val="24"/>
                <w:szCs w:val="24"/>
              </w:rPr>
              <w:t>due to c</w:t>
            </w:r>
            <w:r w:rsidR="00B93568" w:rsidRPr="00AF3F8C">
              <w:rPr>
                <w:color w:val="000000"/>
                <w:sz w:val="24"/>
                <w:szCs w:val="24"/>
              </w:rPr>
              <w:t xml:space="preserve">onflicting views, positions, </w:t>
            </w:r>
            <w:r>
              <w:rPr>
                <w:color w:val="000000"/>
                <w:sz w:val="24"/>
                <w:szCs w:val="24"/>
              </w:rPr>
              <w:t xml:space="preserve">and </w:t>
            </w:r>
            <w:r w:rsidR="00AC5184">
              <w:rPr>
                <w:color w:val="000000"/>
                <w:sz w:val="24"/>
                <w:szCs w:val="24"/>
              </w:rPr>
              <w:t xml:space="preserve">knowledge </w:t>
            </w:r>
            <w:r w:rsidR="00B93568" w:rsidRPr="00AF3F8C">
              <w:rPr>
                <w:color w:val="000000"/>
                <w:sz w:val="24"/>
                <w:szCs w:val="24"/>
              </w:rPr>
              <w:t xml:space="preserve">levels </w:t>
            </w:r>
          </w:p>
          <w:p w14:paraId="6F702CF3" w14:textId="738FEA7C" w:rsidR="00B93568" w:rsidRPr="00AF3F8C" w:rsidRDefault="006E03C2" w:rsidP="00B7072F">
            <w:pPr>
              <w:widowControl w:val="0"/>
              <w:numPr>
                <w:ilvl w:val="0"/>
                <w:numId w:val="7"/>
              </w:numPr>
              <w:pBdr>
                <w:top w:val="nil"/>
                <w:left w:val="nil"/>
                <w:bottom w:val="nil"/>
                <w:right w:val="nil"/>
                <w:between w:val="nil"/>
              </w:pBdr>
              <w:tabs>
                <w:tab w:val="left" w:pos="828"/>
              </w:tabs>
              <w:ind w:right="115"/>
              <w:rPr>
                <w:rFonts w:ascii="Noto Sans Symbols" w:eastAsia="Noto Sans Symbols" w:hAnsi="Noto Sans Symbols" w:cs="Noto Sans Symbols"/>
                <w:color w:val="000000"/>
                <w:sz w:val="25"/>
                <w:szCs w:val="25"/>
              </w:rPr>
            </w:pPr>
            <w:r>
              <w:rPr>
                <w:color w:val="000000"/>
                <w:sz w:val="24"/>
                <w:szCs w:val="24"/>
              </w:rPr>
              <w:t>Time-consuming collaborative decision-making process</w:t>
            </w:r>
          </w:p>
          <w:p w14:paraId="72C0150F" w14:textId="648F603E" w:rsidR="00B93568" w:rsidRPr="00AF3F8C" w:rsidRDefault="006E03C2" w:rsidP="00B7072F">
            <w:pPr>
              <w:widowControl w:val="0"/>
              <w:numPr>
                <w:ilvl w:val="0"/>
                <w:numId w:val="7"/>
              </w:numPr>
              <w:pBdr>
                <w:top w:val="nil"/>
                <w:left w:val="nil"/>
                <w:bottom w:val="nil"/>
                <w:right w:val="nil"/>
                <w:between w:val="nil"/>
              </w:pBdr>
              <w:tabs>
                <w:tab w:val="left" w:pos="828"/>
              </w:tabs>
              <w:ind w:right="115"/>
              <w:rPr>
                <w:rFonts w:ascii="Noto Sans Symbols" w:eastAsia="Noto Sans Symbols" w:hAnsi="Noto Sans Symbols" w:cs="Noto Sans Symbols"/>
                <w:color w:val="000000"/>
                <w:sz w:val="25"/>
                <w:szCs w:val="25"/>
              </w:rPr>
            </w:pPr>
            <w:r>
              <w:rPr>
                <w:color w:val="000000"/>
                <w:sz w:val="24"/>
                <w:szCs w:val="24"/>
              </w:rPr>
              <w:t>Local communities not very familiar with ACCG or its mission</w:t>
            </w:r>
            <w:r w:rsidR="00C01D60" w:rsidRPr="00AF3F8C">
              <w:rPr>
                <w:color w:val="000000"/>
                <w:sz w:val="24"/>
                <w:szCs w:val="24"/>
              </w:rPr>
              <w:t xml:space="preserve"> </w:t>
            </w:r>
          </w:p>
          <w:p w14:paraId="4DF4D8B5" w14:textId="6B6C21E2" w:rsidR="00B93568" w:rsidRPr="00AF3F8C" w:rsidRDefault="006E03C2" w:rsidP="00B7072F">
            <w:pPr>
              <w:widowControl w:val="0"/>
              <w:numPr>
                <w:ilvl w:val="0"/>
                <w:numId w:val="7"/>
              </w:numPr>
              <w:pBdr>
                <w:top w:val="nil"/>
                <w:left w:val="nil"/>
                <w:bottom w:val="nil"/>
                <w:right w:val="nil"/>
                <w:between w:val="nil"/>
              </w:pBdr>
              <w:tabs>
                <w:tab w:val="left" w:pos="828"/>
              </w:tabs>
              <w:ind w:right="1107"/>
              <w:rPr>
                <w:rFonts w:ascii="Noto Sans Symbols" w:eastAsia="Noto Sans Symbols" w:hAnsi="Noto Sans Symbols" w:cs="Noto Sans Symbols"/>
                <w:color w:val="000000"/>
                <w:sz w:val="25"/>
                <w:szCs w:val="25"/>
              </w:rPr>
            </w:pPr>
            <w:r>
              <w:rPr>
                <w:color w:val="000000"/>
                <w:sz w:val="24"/>
                <w:szCs w:val="24"/>
              </w:rPr>
              <w:t xml:space="preserve">Lower than optimal number of </w:t>
            </w:r>
            <w:r w:rsidR="00B93568" w:rsidRPr="00AF3F8C">
              <w:rPr>
                <w:color w:val="000000"/>
                <w:sz w:val="24"/>
                <w:szCs w:val="24"/>
              </w:rPr>
              <w:t>MOA signatories</w:t>
            </w:r>
          </w:p>
          <w:p w14:paraId="701DD0A7" w14:textId="3813026E" w:rsidR="00B93568" w:rsidRPr="00773EFF" w:rsidRDefault="00B93568"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color w:val="000000"/>
                <w:sz w:val="25"/>
                <w:szCs w:val="25"/>
              </w:rPr>
            </w:pPr>
            <w:r w:rsidRPr="00AF3F8C">
              <w:rPr>
                <w:color w:val="000000"/>
                <w:sz w:val="24"/>
                <w:szCs w:val="24"/>
              </w:rPr>
              <w:t>Low participation from communities, organizations, businesses, tribes, etc.</w:t>
            </w:r>
            <w:r w:rsidR="00773EFF">
              <w:rPr>
                <w:color w:val="000000"/>
                <w:sz w:val="24"/>
                <w:szCs w:val="24"/>
              </w:rPr>
              <w:t xml:space="preserve"> </w:t>
            </w:r>
          </w:p>
          <w:p w14:paraId="716E1C1F" w14:textId="0C6A40C0" w:rsidR="00773EFF" w:rsidRPr="0023176B" w:rsidRDefault="006E03C2"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sz w:val="25"/>
                <w:szCs w:val="25"/>
              </w:rPr>
            </w:pPr>
            <w:r w:rsidRPr="0023176B">
              <w:rPr>
                <w:rFonts w:ascii="Noto Sans Symbols" w:eastAsia="Noto Sans Symbols" w:hAnsi="Noto Sans Symbols" w:cs="Noto Sans Symbols"/>
                <w:sz w:val="24"/>
                <w:szCs w:val="24"/>
              </w:rPr>
              <w:t>Collaboration challenges</w:t>
            </w:r>
            <w:r w:rsidR="00773EFF" w:rsidRPr="0023176B">
              <w:rPr>
                <w:rFonts w:ascii="Noto Sans Symbols" w:eastAsia="Noto Sans Symbols" w:hAnsi="Noto Sans Symbols" w:cs="Noto Sans Symbols"/>
                <w:sz w:val="24"/>
                <w:szCs w:val="24"/>
              </w:rPr>
              <w:t xml:space="preserve"> </w:t>
            </w:r>
            <w:r w:rsidR="00745D17" w:rsidRPr="0023176B">
              <w:rPr>
                <w:rFonts w:ascii="Noto Sans Symbols" w:eastAsia="Noto Sans Symbols" w:hAnsi="Noto Sans Symbols" w:cs="Noto Sans Symbols"/>
                <w:sz w:val="24"/>
                <w:szCs w:val="24"/>
              </w:rPr>
              <w:t xml:space="preserve">across various </w:t>
            </w:r>
            <w:r w:rsidR="00ED6E62" w:rsidRPr="0023176B">
              <w:rPr>
                <w:rFonts w:ascii="Noto Sans Symbols" w:eastAsia="Noto Sans Symbols" w:hAnsi="Noto Sans Symbols" w:cs="Noto Sans Symbols"/>
                <w:sz w:val="24"/>
                <w:szCs w:val="24"/>
              </w:rPr>
              <w:t>ownership</w:t>
            </w:r>
            <w:r w:rsidR="00745D17" w:rsidRPr="0023176B">
              <w:rPr>
                <w:rFonts w:ascii="Noto Sans Symbols" w:eastAsia="Noto Sans Symbols" w:hAnsi="Noto Sans Symbols" w:cs="Noto Sans Symbols"/>
                <w:sz w:val="24"/>
                <w:szCs w:val="24"/>
              </w:rPr>
              <w:t xml:space="preserve"> boundaries and jurisdictions</w:t>
            </w:r>
          </w:p>
          <w:p w14:paraId="1756194B" w14:textId="5CDB5430" w:rsidR="00ED6E62" w:rsidRPr="00773EFF" w:rsidRDefault="00ED6E62"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color w:val="000000"/>
                <w:sz w:val="25"/>
                <w:szCs w:val="25"/>
                <w:u w:val="single"/>
              </w:rPr>
            </w:pPr>
            <w:r w:rsidRPr="0023176B">
              <w:rPr>
                <w:rFonts w:ascii="Noto Sans Symbols" w:eastAsia="Noto Sans Symbols" w:hAnsi="Noto Sans Symbols" w:cs="Noto Sans Symbols"/>
                <w:sz w:val="24"/>
                <w:szCs w:val="24"/>
              </w:rPr>
              <w:t>C</w:t>
            </w:r>
            <w:r w:rsidR="006E03C2" w:rsidRPr="0023176B">
              <w:rPr>
                <w:rFonts w:ascii="Noto Sans Symbols" w:eastAsia="Noto Sans Symbols" w:hAnsi="Noto Sans Symbols" w:cs="Noto Sans Symbols"/>
                <w:sz w:val="24"/>
                <w:szCs w:val="24"/>
              </w:rPr>
              <w:t xml:space="preserve">ollaboration challenges </w:t>
            </w:r>
            <w:r w:rsidRPr="0023176B">
              <w:rPr>
                <w:rFonts w:ascii="Noto Sans Symbols" w:eastAsia="Noto Sans Symbols" w:hAnsi="Noto Sans Symbols" w:cs="Noto Sans Symbols"/>
                <w:sz w:val="24"/>
                <w:szCs w:val="24"/>
              </w:rPr>
              <w:t xml:space="preserve">between </w:t>
            </w:r>
            <w:r w:rsidR="00AC5184">
              <w:rPr>
                <w:rFonts w:ascii="Noto Sans Symbols" w:eastAsia="Noto Sans Symbols" w:hAnsi="Noto Sans Symbols" w:cs="Noto Sans Symbols"/>
                <w:sz w:val="24"/>
                <w:szCs w:val="24"/>
              </w:rPr>
              <w:t>Eldorado Natl. Forest</w:t>
            </w:r>
            <w:r w:rsidRPr="0023176B">
              <w:rPr>
                <w:rFonts w:ascii="Noto Sans Symbols" w:eastAsia="Noto Sans Symbols" w:hAnsi="Noto Sans Symbols" w:cs="Noto Sans Symbols"/>
                <w:sz w:val="24"/>
                <w:szCs w:val="24"/>
              </w:rPr>
              <w:t xml:space="preserve"> and S</w:t>
            </w:r>
            <w:r w:rsidR="00AC5184">
              <w:rPr>
                <w:rFonts w:ascii="Noto Sans Symbols" w:eastAsia="Noto Sans Symbols" w:hAnsi="Noto Sans Symbols" w:cs="Noto Sans Symbols"/>
                <w:sz w:val="24"/>
                <w:szCs w:val="24"/>
              </w:rPr>
              <w:t xml:space="preserve">tanislaus Natl. </w:t>
            </w:r>
            <w:r w:rsidRPr="0023176B">
              <w:rPr>
                <w:rFonts w:ascii="Noto Sans Symbols" w:eastAsia="Noto Sans Symbols" w:hAnsi="Noto Sans Symbols" w:cs="Noto Sans Symbols"/>
                <w:sz w:val="24"/>
                <w:szCs w:val="24"/>
              </w:rPr>
              <w:t>F</w:t>
            </w:r>
            <w:r w:rsidR="00AC5184">
              <w:rPr>
                <w:rFonts w:ascii="Noto Sans Symbols" w:eastAsia="Noto Sans Symbols" w:hAnsi="Noto Sans Symbols" w:cs="Noto Sans Symbols"/>
                <w:sz w:val="24"/>
                <w:szCs w:val="24"/>
              </w:rPr>
              <w:t>orest</w:t>
            </w:r>
          </w:p>
        </w:tc>
      </w:tr>
      <w:tr w:rsidR="00B93568" w:rsidRPr="00B93568" w14:paraId="7B766852" w14:textId="77777777" w:rsidTr="00B7072F">
        <w:tc>
          <w:tcPr>
            <w:tcW w:w="5328" w:type="dxa"/>
            <w:shd w:val="clear" w:color="auto" w:fill="D9D9D9" w:themeFill="background1" w:themeFillShade="D9"/>
          </w:tcPr>
          <w:p w14:paraId="0AFC56B6" w14:textId="65436BD3" w:rsidR="00B93568" w:rsidRPr="00B93568" w:rsidRDefault="00B93568" w:rsidP="00E732BE">
            <w:pPr>
              <w:jc w:val="center"/>
              <w:rPr>
                <w:rFonts w:cstheme="minorHAnsi"/>
                <w:sz w:val="24"/>
                <w:szCs w:val="24"/>
              </w:rPr>
            </w:pPr>
            <w:r>
              <w:rPr>
                <w:rFonts w:cstheme="minorHAnsi"/>
                <w:b/>
                <w:bCs/>
                <w:sz w:val="28"/>
                <w:szCs w:val="28"/>
              </w:rPr>
              <w:t>Opportunities</w:t>
            </w:r>
          </w:p>
        </w:tc>
        <w:tc>
          <w:tcPr>
            <w:tcW w:w="5328" w:type="dxa"/>
            <w:shd w:val="clear" w:color="auto" w:fill="D9D9D9" w:themeFill="background1" w:themeFillShade="D9"/>
          </w:tcPr>
          <w:p w14:paraId="0D972BC2" w14:textId="6729EC4F" w:rsidR="00B93568" w:rsidRPr="00B93568" w:rsidRDefault="00B93568" w:rsidP="00E732BE">
            <w:pPr>
              <w:jc w:val="center"/>
              <w:rPr>
                <w:rFonts w:cstheme="minorHAnsi"/>
                <w:sz w:val="24"/>
                <w:szCs w:val="24"/>
              </w:rPr>
            </w:pPr>
            <w:r>
              <w:rPr>
                <w:rFonts w:cstheme="minorHAnsi"/>
                <w:b/>
                <w:bCs/>
                <w:sz w:val="28"/>
                <w:szCs w:val="28"/>
              </w:rPr>
              <w:t>Threats</w:t>
            </w:r>
          </w:p>
        </w:tc>
      </w:tr>
      <w:tr w:rsidR="00B93568" w:rsidRPr="00B93568" w14:paraId="77E4CD5C" w14:textId="77777777" w:rsidTr="00AF3F8C">
        <w:trPr>
          <w:trHeight w:val="6020"/>
        </w:trPr>
        <w:tc>
          <w:tcPr>
            <w:tcW w:w="5328" w:type="dxa"/>
          </w:tcPr>
          <w:p w14:paraId="13D5FB23" w14:textId="3410E86A" w:rsidR="00B93568" w:rsidRPr="00AF3F8C" w:rsidRDefault="00B93568" w:rsidP="00AF3F8C">
            <w:pPr>
              <w:widowControl w:val="0"/>
              <w:numPr>
                <w:ilvl w:val="0"/>
                <w:numId w:val="8"/>
              </w:numPr>
              <w:pBdr>
                <w:top w:val="nil"/>
                <w:left w:val="nil"/>
                <w:bottom w:val="nil"/>
                <w:right w:val="nil"/>
                <w:between w:val="nil"/>
              </w:pBdr>
              <w:tabs>
                <w:tab w:val="left" w:pos="828"/>
              </w:tabs>
              <w:ind w:right="555"/>
              <w:rPr>
                <w:color w:val="000000"/>
                <w:sz w:val="24"/>
                <w:szCs w:val="24"/>
              </w:rPr>
            </w:pPr>
            <w:r w:rsidRPr="00AF3F8C">
              <w:rPr>
                <w:color w:val="000000"/>
                <w:sz w:val="24"/>
                <w:szCs w:val="24"/>
              </w:rPr>
              <w:t>Pursue funding opportunities</w:t>
            </w:r>
            <w:r w:rsidR="00AC5184">
              <w:rPr>
                <w:color w:val="000000"/>
                <w:sz w:val="24"/>
                <w:szCs w:val="24"/>
              </w:rPr>
              <w:t xml:space="preserve">; </w:t>
            </w:r>
            <w:r w:rsidR="00AF3F8C" w:rsidRPr="00AF3F8C">
              <w:rPr>
                <w:color w:val="000000"/>
                <w:sz w:val="24"/>
                <w:szCs w:val="24"/>
              </w:rPr>
              <w:t>support</w:t>
            </w:r>
            <w:r w:rsidR="00AF3F8C">
              <w:rPr>
                <w:color w:val="000000"/>
                <w:sz w:val="24"/>
                <w:szCs w:val="24"/>
              </w:rPr>
              <w:t xml:space="preserve">/write </w:t>
            </w:r>
            <w:r w:rsidRPr="00AF3F8C">
              <w:rPr>
                <w:color w:val="000000"/>
                <w:sz w:val="24"/>
                <w:szCs w:val="24"/>
              </w:rPr>
              <w:t>more grants</w:t>
            </w:r>
          </w:p>
          <w:p w14:paraId="13102A43" w14:textId="77777777" w:rsidR="00B93568" w:rsidRPr="00AF3F8C" w:rsidRDefault="00B93568" w:rsidP="00AF3F8C">
            <w:pPr>
              <w:widowControl w:val="0"/>
              <w:numPr>
                <w:ilvl w:val="0"/>
                <w:numId w:val="8"/>
              </w:numPr>
              <w:pBdr>
                <w:top w:val="nil"/>
                <w:left w:val="nil"/>
                <w:bottom w:val="nil"/>
                <w:right w:val="nil"/>
                <w:between w:val="nil"/>
              </w:pBdr>
              <w:tabs>
                <w:tab w:val="left" w:pos="828"/>
              </w:tabs>
              <w:ind w:right="138"/>
              <w:rPr>
                <w:color w:val="000000"/>
                <w:sz w:val="24"/>
                <w:szCs w:val="24"/>
              </w:rPr>
            </w:pPr>
            <w:r w:rsidRPr="00AF3F8C">
              <w:rPr>
                <w:color w:val="000000"/>
                <w:sz w:val="24"/>
                <w:szCs w:val="24"/>
              </w:rPr>
              <w:t>Increase participation with new MOA and outreach efforts</w:t>
            </w:r>
          </w:p>
          <w:p w14:paraId="6E31F6D2" w14:textId="77777777" w:rsidR="00B93568" w:rsidRPr="00AF3F8C" w:rsidRDefault="00B93568" w:rsidP="00AF3F8C">
            <w:pPr>
              <w:widowControl w:val="0"/>
              <w:numPr>
                <w:ilvl w:val="0"/>
                <w:numId w:val="8"/>
              </w:numPr>
              <w:pBdr>
                <w:top w:val="nil"/>
                <w:left w:val="nil"/>
                <w:bottom w:val="nil"/>
                <w:right w:val="nil"/>
                <w:between w:val="nil"/>
              </w:pBdr>
              <w:tabs>
                <w:tab w:val="left" w:pos="828"/>
              </w:tabs>
              <w:ind w:right="228"/>
              <w:rPr>
                <w:color w:val="000000"/>
                <w:sz w:val="24"/>
                <w:szCs w:val="24"/>
              </w:rPr>
            </w:pPr>
            <w:r w:rsidRPr="00AF3F8C">
              <w:rPr>
                <w:color w:val="000000"/>
                <w:sz w:val="24"/>
                <w:szCs w:val="24"/>
              </w:rPr>
              <w:t>Identify and learn about partnership and contracting options</w:t>
            </w:r>
          </w:p>
          <w:p w14:paraId="0DD6D61F" w14:textId="4DD032CC" w:rsidR="00B93568" w:rsidRPr="00AF3F8C" w:rsidRDefault="00B93568" w:rsidP="00AF3F8C">
            <w:pPr>
              <w:widowControl w:val="0"/>
              <w:numPr>
                <w:ilvl w:val="0"/>
                <w:numId w:val="8"/>
              </w:numPr>
              <w:pBdr>
                <w:top w:val="nil"/>
                <w:left w:val="nil"/>
                <w:bottom w:val="nil"/>
                <w:right w:val="nil"/>
                <w:between w:val="nil"/>
              </w:pBdr>
              <w:tabs>
                <w:tab w:val="left" w:pos="828"/>
              </w:tabs>
              <w:ind w:right="531"/>
              <w:rPr>
                <w:color w:val="000000"/>
                <w:sz w:val="24"/>
                <w:szCs w:val="24"/>
              </w:rPr>
            </w:pPr>
            <w:r w:rsidRPr="00AF3F8C">
              <w:rPr>
                <w:color w:val="000000"/>
                <w:sz w:val="24"/>
                <w:szCs w:val="24"/>
              </w:rPr>
              <w:t>Increase scope to all-lands watershed</w:t>
            </w:r>
            <w:r w:rsidR="00CD1CE1">
              <w:rPr>
                <w:color w:val="000000"/>
                <w:sz w:val="24"/>
                <w:szCs w:val="24"/>
              </w:rPr>
              <w:t>-</w:t>
            </w:r>
            <w:r w:rsidRPr="00AF3F8C">
              <w:rPr>
                <w:color w:val="000000"/>
                <w:sz w:val="24"/>
                <w:szCs w:val="24"/>
              </w:rPr>
              <w:t>scale projects</w:t>
            </w:r>
          </w:p>
          <w:p w14:paraId="05E1123F" w14:textId="67FBE475" w:rsidR="00B93568" w:rsidRPr="00AF3F8C" w:rsidRDefault="00B93568" w:rsidP="00AF3F8C">
            <w:pPr>
              <w:widowControl w:val="0"/>
              <w:numPr>
                <w:ilvl w:val="0"/>
                <w:numId w:val="8"/>
              </w:numPr>
              <w:pBdr>
                <w:top w:val="nil"/>
                <w:left w:val="nil"/>
                <w:bottom w:val="nil"/>
                <w:right w:val="nil"/>
                <w:between w:val="nil"/>
              </w:pBdr>
              <w:tabs>
                <w:tab w:val="left" w:pos="828"/>
              </w:tabs>
              <w:ind w:right="619"/>
              <w:rPr>
                <w:color w:val="000000"/>
                <w:sz w:val="24"/>
                <w:szCs w:val="24"/>
              </w:rPr>
            </w:pPr>
            <w:r w:rsidRPr="00AF3F8C">
              <w:rPr>
                <w:color w:val="000000"/>
                <w:sz w:val="24"/>
                <w:szCs w:val="24"/>
              </w:rPr>
              <w:t xml:space="preserve">Improve processes for collaboration, consensus, </w:t>
            </w:r>
            <w:r w:rsidR="00AC5184">
              <w:rPr>
                <w:color w:val="000000"/>
                <w:sz w:val="24"/>
                <w:szCs w:val="24"/>
              </w:rPr>
              <w:t xml:space="preserve">and </w:t>
            </w:r>
            <w:r w:rsidRPr="00AF3F8C">
              <w:rPr>
                <w:color w:val="000000"/>
                <w:sz w:val="24"/>
                <w:szCs w:val="24"/>
              </w:rPr>
              <w:t>project support</w:t>
            </w:r>
          </w:p>
          <w:p w14:paraId="2685AA18" w14:textId="45784148" w:rsidR="00B93568" w:rsidRPr="00AF3F8C" w:rsidRDefault="0023176B"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23176B">
              <w:rPr>
                <w:color w:val="000000"/>
                <w:sz w:val="24"/>
                <w:szCs w:val="24"/>
              </w:rPr>
              <w:t xml:space="preserve">Identify potential new projects and support </w:t>
            </w:r>
            <w:r w:rsidR="00AC5184">
              <w:rPr>
                <w:color w:val="000000"/>
                <w:sz w:val="24"/>
                <w:szCs w:val="24"/>
              </w:rPr>
              <w:t xml:space="preserve">the </w:t>
            </w:r>
            <w:r w:rsidR="00B93568" w:rsidRPr="00AF3F8C">
              <w:rPr>
                <w:color w:val="000000"/>
                <w:sz w:val="24"/>
                <w:szCs w:val="24"/>
              </w:rPr>
              <w:t>implementation of projects</w:t>
            </w:r>
          </w:p>
          <w:p w14:paraId="70E2EE75" w14:textId="6A277F73" w:rsidR="00734B6F" w:rsidRPr="00AF3F8C" w:rsidRDefault="00734B6F"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AF3F8C">
              <w:rPr>
                <w:color w:val="000000"/>
                <w:sz w:val="24"/>
                <w:szCs w:val="24"/>
              </w:rPr>
              <w:t>Socioeconomic monitoring to identify impact and capacity</w:t>
            </w:r>
          </w:p>
          <w:p w14:paraId="2D23F782" w14:textId="355EC401" w:rsidR="00734B6F" w:rsidRPr="00AF3F8C" w:rsidRDefault="00734B6F"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AF3F8C">
              <w:rPr>
                <w:color w:val="000000"/>
                <w:sz w:val="24"/>
                <w:szCs w:val="24"/>
              </w:rPr>
              <w:t>Recently expanded funding sources available for fire safety and forest projects</w:t>
            </w:r>
          </w:p>
          <w:p w14:paraId="088D107F" w14:textId="2A952ABA" w:rsidR="00C01D60" w:rsidRPr="00AF3F8C" w:rsidRDefault="0023176B" w:rsidP="00AF3F8C">
            <w:pPr>
              <w:widowControl w:val="0"/>
              <w:numPr>
                <w:ilvl w:val="0"/>
                <w:numId w:val="8"/>
              </w:numPr>
              <w:pBdr>
                <w:top w:val="nil"/>
                <w:left w:val="nil"/>
                <w:bottom w:val="nil"/>
                <w:right w:val="nil"/>
                <w:between w:val="nil"/>
              </w:pBdr>
              <w:tabs>
                <w:tab w:val="left" w:pos="828"/>
              </w:tabs>
              <w:ind w:right="329"/>
              <w:rPr>
                <w:color w:val="000000"/>
                <w:sz w:val="24"/>
                <w:szCs w:val="24"/>
              </w:rPr>
            </w:pPr>
            <w:r>
              <w:rPr>
                <w:color w:val="000000"/>
                <w:sz w:val="24"/>
                <w:szCs w:val="24"/>
              </w:rPr>
              <w:t>U</w:t>
            </w:r>
            <w:r w:rsidR="00734B6F" w:rsidRPr="00AF3F8C">
              <w:rPr>
                <w:color w:val="000000"/>
                <w:sz w:val="24"/>
                <w:szCs w:val="24"/>
              </w:rPr>
              <w:t>se our collaborative skills to build alliances with multiple organizations rather than competing</w:t>
            </w:r>
          </w:p>
        </w:tc>
        <w:tc>
          <w:tcPr>
            <w:tcW w:w="5328" w:type="dxa"/>
          </w:tcPr>
          <w:p w14:paraId="149E18E5" w14:textId="78952C97" w:rsidR="00C01D60" w:rsidRPr="00AF3F8C" w:rsidRDefault="0023176B" w:rsidP="00AF3F8C">
            <w:pPr>
              <w:widowControl w:val="0"/>
              <w:numPr>
                <w:ilvl w:val="0"/>
                <w:numId w:val="8"/>
              </w:numPr>
              <w:pBdr>
                <w:top w:val="nil"/>
                <w:left w:val="nil"/>
                <w:bottom w:val="nil"/>
                <w:right w:val="nil"/>
                <w:between w:val="nil"/>
              </w:pBdr>
              <w:tabs>
                <w:tab w:val="left" w:pos="828"/>
              </w:tabs>
              <w:rPr>
                <w:color w:val="000000"/>
                <w:sz w:val="24"/>
                <w:szCs w:val="24"/>
              </w:rPr>
            </w:pPr>
            <w:r>
              <w:rPr>
                <w:rFonts w:ascii="Calibri" w:eastAsia="Calibri" w:hAnsi="Calibri" w:cs="Calibri"/>
                <w:color w:val="000000"/>
                <w:sz w:val="24"/>
                <w:szCs w:val="24"/>
              </w:rPr>
              <w:t>Conflicting values on certain issues</w:t>
            </w:r>
          </w:p>
          <w:p w14:paraId="09B55F78" w14:textId="718EF6C7" w:rsidR="00C01D60" w:rsidRPr="00AF3F8C" w:rsidRDefault="00C01D60" w:rsidP="00AF3F8C">
            <w:pPr>
              <w:widowControl w:val="0"/>
              <w:numPr>
                <w:ilvl w:val="0"/>
                <w:numId w:val="8"/>
              </w:numPr>
              <w:pBdr>
                <w:top w:val="nil"/>
                <w:left w:val="nil"/>
                <w:bottom w:val="nil"/>
                <w:right w:val="nil"/>
                <w:between w:val="nil"/>
              </w:pBdr>
              <w:tabs>
                <w:tab w:val="left" w:pos="828"/>
              </w:tabs>
              <w:rPr>
                <w:color w:val="000000"/>
                <w:sz w:val="24"/>
                <w:szCs w:val="24"/>
              </w:rPr>
            </w:pPr>
            <w:r w:rsidRPr="00AF3F8C">
              <w:rPr>
                <w:rFonts w:ascii="Calibri" w:eastAsia="Calibri" w:hAnsi="Calibri" w:cs="Calibri"/>
                <w:color w:val="000000"/>
                <w:sz w:val="24"/>
                <w:szCs w:val="24"/>
              </w:rPr>
              <w:t>Budget constraints</w:t>
            </w:r>
          </w:p>
          <w:p w14:paraId="0E1C4508" w14:textId="77777777" w:rsidR="00C01D60" w:rsidRPr="00AF3F8C" w:rsidRDefault="00C01D60" w:rsidP="00AF3F8C">
            <w:pPr>
              <w:widowControl w:val="0"/>
              <w:numPr>
                <w:ilvl w:val="0"/>
                <w:numId w:val="8"/>
              </w:numPr>
              <w:pBdr>
                <w:top w:val="nil"/>
                <w:left w:val="nil"/>
                <w:bottom w:val="nil"/>
                <w:right w:val="nil"/>
                <w:between w:val="nil"/>
              </w:pBdr>
              <w:tabs>
                <w:tab w:val="left" w:pos="828"/>
              </w:tabs>
              <w:rPr>
                <w:color w:val="000000"/>
                <w:sz w:val="24"/>
                <w:szCs w:val="24"/>
              </w:rPr>
            </w:pPr>
            <w:r w:rsidRPr="00AF3F8C">
              <w:rPr>
                <w:rFonts w:ascii="Calibri" w:eastAsia="Calibri" w:hAnsi="Calibri" w:cs="Calibri"/>
                <w:color w:val="000000"/>
                <w:sz w:val="24"/>
                <w:szCs w:val="24"/>
              </w:rPr>
              <w:t>Fires, floods, pest infestations</w:t>
            </w:r>
          </w:p>
          <w:p w14:paraId="57EE8C53" w14:textId="440DDDFB" w:rsidR="00AF3F8C" w:rsidRDefault="00AF3F8C" w:rsidP="00AF3F8C">
            <w:pPr>
              <w:widowControl w:val="0"/>
              <w:numPr>
                <w:ilvl w:val="0"/>
                <w:numId w:val="8"/>
              </w:numPr>
              <w:pBdr>
                <w:top w:val="nil"/>
                <w:left w:val="nil"/>
                <w:bottom w:val="nil"/>
                <w:right w:val="nil"/>
                <w:between w:val="nil"/>
              </w:pBdr>
              <w:tabs>
                <w:tab w:val="left" w:pos="828"/>
              </w:tabs>
              <w:ind w:right="189"/>
              <w:rPr>
                <w:color w:val="000000"/>
                <w:sz w:val="24"/>
                <w:szCs w:val="24"/>
              </w:rPr>
            </w:pPr>
            <w:r w:rsidRPr="00AF3F8C">
              <w:rPr>
                <w:color w:val="000000"/>
                <w:sz w:val="24"/>
                <w:szCs w:val="24"/>
              </w:rPr>
              <w:t>Declining participation</w:t>
            </w:r>
            <w:r w:rsidRPr="00AF3F8C">
              <w:rPr>
                <w:sz w:val="24"/>
                <w:szCs w:val="24"/>
              </w:rPr>
              <w:t xml:space="preserve"> </w:t>
            </w:r>
            <w:r w:rsidRPr="00AF3F8C">
              <w:rPr>
                <w:color w:val="000000"/>
                <w:sz w:val="24"/>
                <w:szCs w:val="24"/>
              </w:rPr>
              <w:t>of long-term members/</w:t>
            </w:r>
            <w:r w:rsidR="00AC5184">
              <w:rPr>
                <w:color w:val="000000"/>
                <w:sz w:val="24"/>
                <w:szCs w:val="24"/>
              </w:rPr>
              <w:t>changeover</w:t>
            </w:r>
            <w:r w:rsidRPr="00AF3F8C">
              <w:rPr>
                <w:color w:val="000000"/>
                <w:sz w:val="24"/>
                <w:szCs w:val="24"/>
              </w:rPr>
              <w:t xml:space="preserve"> in membership (loss of </w:t>
            </w:r>
            <w:r w:rsidR="00745D17">
              <w:rPr>
                <w:color w:val="000000"/>
                <w:sz w:val="24"/>
                <w:szCs w:val="24"/>
              </w:rPr>
              <w:t>institutional</w:t>
            </w:r>
            <w:r w:rsidR="00745D17" w:rsidRPr="00AF3F8C">
              <w:rPr>
                <w:color w:val="000000"/>
                <w:sz w:val="24"/>
                <w:szCs w:val="24"/>
              </w:rPr>
              <w:t xml:space="preserve"> </w:t>
            </w:r>
            <w:r w:rsidRPr="00AF3F8C">
              <w:rPr>
                <w:color w:val="000000"/>
                <w:sz w:val="24"/>
                <w:szCs w:val="24"/>
              </w:rPr>
              <w:t>knowledge)</w:t>
            </w:r>
          </w:p>
          <w:p w14:paraId="4991F8DE" w14:textId="12948D42" w:rsidR="003D4FF3" w:rsidRDefault="003D4FF3" w:rsidP="00AF3F8C">
            <w:pPr>
              <w:widowControl w:val="0"/>
              <w:numPr>
                <w:ilvl w:val="0"/>
                <w:numId w:val="8"/>
              </w:numPr>
              <w:pBdr>
                <w:top w:val="nil"/>
                <w:left w:val="nil"/>
                <w:bottom w:val="nil"/>
                <w:right w:val="nil"/>
                <w:between w:val="nil"/>
              </w:pBdr>
              <w:tabs>
                <w:tab w:val="left" w:pos="828"/>
              </w:tabs>
              <w:ind w:right="189"/>
              <w:rPr>
                <w:color w:val="000000"/>
                <w:sz w:val="24"/>
                <w:szCs w:val="24"/>
              </w:rPr>
            </w:pPr>
            <w:r w:rsidRPr="003D4FF3">
              <w:rPr>
                <w:color w:val="000000"/>
                <w:sz w:val="24"/>
                <w:szCs w:val="24"/>
              </w:rPr>
              <w:t>High F</w:t>
            </w:r>
            <w:r w:rsidR="00AC5184">
              <w:rPr>
                <w:color w:val="000000"/>
                <w:sz w:val="24"/>
                <w:szCs w:val="24"/>
              </w:rPr>
              <w:t xml:space="preserve">orest </w:t>
            </w:r>
            <w:r w:rsidRPr="003D4FF3">
              <w:rPr>
                <w:color w:val="000000"/>
                <w:sz w:val="24"/>
                <w:szCs w:val="24"/>
              </w:rPr>
              <w:t>S</w:t>
            </w:r>
            <w:r w:rsidR="00AC5184">
              <w:rPr>
                <w:color w:val="000000"/>
                <w:sz w:val="24"/>
                <w:szCs w:val="24"/>
              </w:rPr>
              <w:t>ervice</w:t>
            </w:r>
            <w:r w:rsidRPr="003D4FF3">
              <w:rPr>
                <w:color w:val="000000"/>
                <w:sz w:val="24"/>
                <w:szCs w:val="24"/>
              </w:rPr>
              <w:t xml:space="preserve"> turnover and loss of knowledge</w:t>
            </w:r>
            <w:r w:rsidR="00AC5184">
              <w:rPr>
                <w:color w:val="000000"/>
                <w:sz w:val="24"/>
                <w:szCs w:val="24"/>
              </w:rPr>
              <w:t xml:space="preserve"> resulting in reduced staff capacity and loss of local experience</w:t>
            </w:r>
          </w:p>
          <w:p w14:paraId="3E51DE53" w14:textId="5520EE88" w:rsidR="00745D17" w:rsidRPr="00AF3F8C" w:rsidRDefault="0076478F" w:rsidP="00745D17">
            <w:pPr>
              <w:widowControl w:val="0"/>
              <w:numPr>
                <w:ilvl w:val="0"/>
                <w:numId w:val="8"/>
              </w:numPr>
              <w:pBdr>
                <w:top w:val="nil"/>
                <w:left w:val="nil"/>
                <w:bottom w:val="nil"/>
                <w:right w:val="nil"/>
                <w:between w:val="nil"/>
              </w:pBdr>
              <w:tabs>
                <w:tab w:val="left" w:pos="828"/>
              </w:tabs>
              <w:ind w:right="531"/>
              <w:rPr>
                <w:color w:val="000000"/>
                <w:sz w:val="24"/>
                <w:szCs w:val="24"/>
              </w:rPr>
            </w:pPr>
            <w:r>
              <w:rPr>
                <w:color w:val="000000"/>
                <w:sz w:val="24"/>
                <w:szCs w:val="24"/>
              </w:rPr>
              <w:t>Difficulty in i</w:t>
            </w:r>
            <w:r w:rsidR="00745D17" w:rsidRPr="00AF3F8C">
              <w:rPr>
                <w:color w:val="000000"/>
                <w:sz w:val="24"/>
                <w:szCs w:val="24"/>
              </w:rPr>
              <w:t>ncreas</w:t>
            </w:r>
            <w:r>
              <w:rPr>
                <w:color w:val="000000"/>
                <w:sz w:val="24"/>
                <w:szCs w:val="24"/>
              </w:rPr>
              <w:t>ing</w:t>
            </w:r>
            <w:r w:rsidR="00745D17" w:rsidRPr="00AF3F8C">
              <w:rPr>
                <w:color w:val="000000"/>
                <w:sz w:val="24"/>
                <w:szCs w:val="24"/>
              </w:rPr>
              <w:t xml:space="preserve"> scope to all-lands watershed scale projects</w:t>
            </w:r>
          </w:p>
          <w:p w14:paraId="26BE919C" w14:textId="1D4D91A1" w:rsidR="00745D17" w:rsidRPr="00AF3F8C" w:rsidRDefault="00745D17" w:rsidP="0023176B">
            <w:pPr>
              <w:widowControl w:val="0"/>
              <w:pBdr>
                <w:top w:val="nil"/>
                <w:left w:val="nil"/>
                <w:bottom w:val="nil"/>
                <w:right w:val="nil"/>
                <w:between w:val="nil"/>
              </w:pBdr>
              <w:tabs>
                <w:tab w:val="left" w:pos="828"/>
              </w:tabs>
              <w:ind w:left="360" w:right="189"/>
              <w:rPr>
                <w:color w:val="000000"/>
                <w:sz w:val="24"/>
                <w:szCs w:val="24"/>
              </w:rPr>
            </w:pPr>
          </w:p>
        </w:tc>
      </w:tr>
    </w:tbl>
    <w:p w14:paraId="5079BE65" w14:textId="77777777" w:rsidR="00B93568" w:rsidRDefault="00B93568" w:rsidP="008F4778"/>
    <w:sectPr w:rsidR="00B93568" w:rsidSect="00B7072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1978" w14:textId="77777777" w:rsidR="0029557C" w:rsidRDefault="0029557C" w:rsidP="00B93568">
      <w:pPr>
        <w:spacing w:after="0" w:line="240" w:lineRule="auto"/>
      </w:pPr>
      <w:r>
        <w:separator/>
      </w:r>
    </w:p>
  </w:endnote>
  <w:endnote w:type="continuationSeparator" w:id="0">
    <w:p w14:paraId="5855EB22" w14:textId="77777777" w:rsidR="0029557C" w:rsidRDefault="0029557C" w:rsidP="00B9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B15F" w14:textId="77777777" w:rsidR="00212691" w:rsidRDefault="0021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2206" w14:textId="77777777" w:rsidR="00212691" w:rsidRDefault="00212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434" w14:textId="77777777" w:rsidR="00212691" w:rsidRDefault="0021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D567" w14:textId="77777777" w:rsidR="0029557C" w:rsidRDefault="0029557C" w:rsidP="00B93568">
      <w:pPr>
        <w:spacing w:after="0" w:line="240" w:lineRule="auto"/>
      </w:pPr>
      <w:r>
        <w:separator/>
      </w:r>
    </w:p>
  </w:footnote>
  <w:footnote w:type="continuationSeparator" w:id="0">
    <w:p w14:paraId="46EFA53A" w14:textId="77777777" w:rsidR="0029557C" w:rsidRDefault="0029557C" w:rsidP="00B9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799" w14:textId="77777777" w:rsidR="00212691" w:rsidRDefault="0021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1EE3" w14:textId="682F058B" w:rsidR="00B93568" w:rsidRPr="00B7072F" w:rsidRDefault="00B7072F" w:rsidP="00B7072F">
    <w:pPr>
      <w:pStyle w:val="Header"/>
      <w:jc w:val="center"/>
      <w:rPr>
        <w:rFonts w:ascii="Arial Black" w:hAnsi="Arial Black"/>
        <w:b/>
        <w:bCs/>
        <w:color w:val="2C441C"/>
        <w:sz w:val="32"/>
        <w:szCs w:val="32"/>
      </w:rPr>
    </w:pPr>
    <w:r w:rsidRPr="00B7072F">
      <w:rPr>
        <w:rFonts w:ascii="Arial Black" w:hAnsi="Arial Black"/>
        <w:b/>
        <w:bCs/>
        <w:color w:val="2C441C"/>
        <w:sz w:val="32"/>
        <w:szCs w:val="32"/>
      </w:rPr>
      <w:t>Amador-Calaveras Consensus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D43" w14:textId="77777777" w:rsidR="00212691" w:rsidRDefault="0021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E4"/>
    <w:multiLevelType w:val="multilevel"/>
    <w:tmpl w:val="87788554"/>
    <w:lvl w:ilvl="0">
      <w:start w:val="1"/>
      <w:numFmt w:val="bullet"/>
      <w:lvlText w:val="o"/>
      <w:lvlJc w:val="left"/>
      <w:pPr>
        <w:ind w:left="360" w:hanging="360"/>
      </w:pPr>
      <w:rPr>
        <w:rFonts w:ascii="Courier New" w:hAnsi="Courier New" w:cs="Courier New" w:hint="default"/>
        <w:b w:val="0"/>
        <w:i w:val="0"/>
        <w:sz w:val="24"/>
        <w:szCs w:val="24"/>
      </w:rPr>
    </w:lvl>
    <w:lvl w:ilvl="1">
      <w:numFmt w:val="bullet"/>
      <w:lvlText w:val="•"/>
      <w:lvlJc w:val="left"/>
      <w:pPr>
        <w:ind w:left="773" w:hanging="360"/>
      </w:pPr>
    </w:lvl>
    <w:lvl w:ilvl="2">
      <w:numFmt w:val="bullet"/>
      <w:lvlText w:val="•"/>
      <w:lvlJc w:val="left"/>
      <w:pPr>
        <w:ind w:left="1194" w:hanging="360"/>
      </w:pPr>
    </w:lvl>
    <w:lvl w:ilvl="3">
      <w:numFmt w:val="bullet"/>
      <w:lvlText w:val="•"/>
      <w:lvlJc w:val="left"/>
      <w:pPr>
        <w:ind w:left="1614" w:hanging="360"/>
      </w:pPr>
    </w:lvl>
    <w:lvl w:ilvl="4">
      <w:numFmt w:val="bullet"/>
      <w:lvlText w:val="•"/>
      <w:lvlJc w:val="left"/>
      <w:pPr>
        <w:ind w:left="2035" w:hanging="360"/>
      </w:pPr>
    </w:lvl>
    <w:lvl w:ilvl="5">
      <w:numFmt w:val="bullet"/>
      <w:lvlText w:val="•"/>
      <w:lvlJc w:val="left"/>
      <w:pPr>
        <w:ind w:left="2455" w:hanging="360"/>
      </w:pPr>
    </w:lvl>
    <w:lvl w:ilvl="6">
      <w:numFmt w:val="bullet"/>
      <w:lvlText w:val="•"/>
      <w:lvlJc w:val="left"/>
      <w:pPr>
        <w:ind w:left="2876" w:hanging="360"/>
      </w:pPr>
    </w:lvl>
    <w:lvl w:ilvl="7">
      <w:numFmt w:val="bullet"/>
      <w:lvlText w:val="•"/>
      <w:lvlJc w:val="left"/>
      <w:pPr>
        <w:ind w:left="3296" w:hanging="360"/>
      </w:pPr>
    </w:lvl>
    <w:lvl w:ilvl="8">
      <w:numFmt w:val="bullet"/>
      <w:lvlText w:val="•"/>
      <w:lvlJc w:val="left"/>
      <w:pPr>
        <w:ind w:left="3717" w:hanging="360"/>
      </w:pPr>
    </w:lvl>
  </w:abstractNum>
  <w:abstractNum w:abstractNumId="1" w15:restartNumberingAfterBreak="0">
    <w:nsid w:val="0B9C02D6"/>
    <w:multiLevelType w:val="multilevel"/>
    <w:tmpl w:val="9314FA96"/>
    <w:lvl w:ilvl="0">
      <w:start w:val="1"/>
      <w:numFmt w:val="bullet"/>
      <w:lvlText w:val="o"/>
      <w:lvlJc w:val="left"/>
      <w:pPr>
        <w:ind w:left="360" w:hanging="360"/>
      </w:pPr>
      <w:rPr>
        <w:rFonts w:ascii="Courier New" w:hAnsi="Courier New" w:cs="Courier New" w:hint="default"/>
        <w:b w:val="0"/>
        <w:i w:val="0"/>
        <w:sz w:val="24"/>
        <w:szCs w:val="24"/>
      </w:rPr>
    </w:lvl>
    <w:lvl w:ilvl="1">
      <w:numFmt w:val="bullet"/>
      <w:lvlText w:val="•"/>
      <w:lvlJc w:val="left"/>
      <w:pPr>
        <w:ind w:left="773" w:hanging="360"/>
      </w:pPr>
    </w:lvl>
    <w:lvl w:ilvl="2">
      <w:numFmt w:val="bullet"/>
      <w:lvlText w:val="•"/>
      <w:lvlJc w:val="left"/>
      <w:pPr>
        <w:ind w:left="1194" w:hanging="360"/>
      </w:pPr>
    </w:lvl>
    <w:lvl w:ilvl="3">
      <w:numFmt w:val="bullet"/>
      <w:lvlText w:val="•"/>
      <w:lvlJc w:val="left"/>
      <w:pPr>
        <w:ind w:left="1614" w:hanging="360"/>
      </w:pPr>
    </w:lvl>
    <w:lvl w:ilvl="4">
      <w:numFmt w:val="bullet"/>
      <w:lvlText w:val="•"/>
      <w:lvlJc w:val="left"/>
      <w:pPr>
        <w:ind w:left="2035" w:hanging="360"/>
      </w:pPr>
    </w:lvl>
    <w:lvl w:ilvl="5">
      <w:numFmt w:val="bullet"/>
      <w:lvlText w:val="•"/>
      <w:lvlJc w:val="left"/>
      <w:pPr>
        <w:ind w:left="2455" w:hanging="360"/>
      </w:pPr>
    </w:lvl>
    <w:lvl w:ilvl="6">
      <w:numFmt w:val="bullet"/>
      <w:lvlText w:val="•"/>
      <w:lvlJc w:val="left"/>
      <w:pPr>
        <w:ind w:left="2876" w:hanging="360"/>
      </w:pPr>
    </w:lvl>
    <w:lvl w:ilvl="7">
      <w:numFmt w:val="bullet"/>
      <w:lvlText w:val="•"/>
      <w:lvlJc w:val="left"/>
      <w:pPr>
        <w:ind w:left="3296" w:hanging="360"/>
      </w:pPr>
    </w:lvl>
    <w:lvl w:ilvl="8">
      <w:numFmt w:val="bullet"/>
      <w:lvlText w:val="•"/>
      <w:lvlJc w:val="left"/>
      <w:pPr>
        <w:ind w:left="3717" w:hanging="360"/>
      </w:pPr>
    </w:lvl>
  </w:abstractNum>
  <w:abstractNum w:abstractNumId="2" w15:restartNumberingAfterBreak="0">
    <w:nsid w:val="21032B99"/>
    <w:multiLevelType w:val="hybridMultilevel"/>
    <w:tmpl w:val="73FCF82C"/>
    <w:lvl w:ilvl="0" w:tplc="09A67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6F5"/>
    <w:multiLevelType w:val="multilevel"/>
    <w:tmpl w:val="40DE182C"/>
    <w:lvl w:ilvl="0">
      <w:numFmt w:val="bullet"/>
      <w:lvlText w:val="●"/>
      <w:lvlJc w:val="left"/>
      <w:pPr>
        <w:ind w:left="271" w:hanging="163"/>
      </w:pPr>
      <w:rPr>
        <w:rFonts w:ascii="Noto Sans Symbols" w:eastAsia="Noto Sans Symbols" w:hAnsi="Noto Sans Symbols" w:cs="Noto Sans Symbols"/>
        <w:b w:val="0"/>
        <w:i w:val="0"/>
        <w:sz w:val="20"/>
        <w:szCs w:val="20"/>
      </w:rPr>
    </w:lvl>
    <w:lvl w:ilvl="1">
      <w:numFmt w:val="bullet"/>
      <w:lvlText w:val="•"/>
      <w:lvlJc w:val="left"/>
      <w:pPr>
        <w:ind w:left="818" w:hanging="164"/>
      </w:pPr>
    </w:lvl>
    <w:lvl w:ilvl="2">
      <w:numFmt w:val="bullet"/>
      <w:lvlText w:val="•"/>
      <w:lvlJc w:val="left"/>
      <w:pPr>
        <w:ind w:left="1356" w:hanging="164"/>
      </w:pPr>
    </w:lvl>
    <w:lvl w:ilvl="3">
      <w:numFmt w:val="bullet"/>
      <w:lvlText w:val="•"/>
      <w:lvlJc w:val="left"/>
      <w:pPr>
        <w:ind w:left="1894" w:hanging="164"/>
      </w:pPr>
    </w:lvl>
    <w:lvl w:ilvl="4">
      <w:numFmt w:val="bullet"/>
      <w:lvlText w:val="•"/>
      <w:lvlJc w:val="left"/>
      <w:pPr>
        <w:ind w:left="2432" w:hanging="164"/>
      </w:pPr>
    </w:lvl>
    <w:lvl w:ilvl="5">
      <w:numFmt w:val="bullet"/>
      <w:lvlText w:val="•"/>
      <w:lvlJc w:val="left"/>
      <w:pPr>
        <w:ind w:left="2970" w:hanging="164"/>
      </w:pPr>
    </w:lvl>
    <w:lvl w:ilvl="6">
      <w:numFmt w:val="bullet"/>
      <w:lvlText w:val="•"/>
      <w:lvlJc w:val="left"/>
      <w:pPr>
        <w:ind w:left="3508" w:hanging="163"/>
      </w:pPr>
    </w:lvl>
    <w:lvl w:ilvl="7">
      <w:numFmt w:val="bullet"/>
      <w:lvlText w:val="•"/>
      <w:lvlJc w:val="left"/>
      <w:pPr>
        <w:ind w:left="4046" w:hanging="163"/>
      </w:pPr>
    </w:lvl>
    <w:lvl w:ilvl="8">
      <w:numFmt w:val="bullet"/>
      <w:lvlText w:val="•"/>
      <w:lvlJc w:val="left"/>
      <w:pPr>
        <w:ind w:left="4584" w:hanging="164"/>
      </w:pPr>
    </w:lvl>
  </w:abstractNum>
  <w:abstractNum w:abstractNumId="4" w15:restartNumberingAfterBreak="0">
    <w:nsid w:val="37D76561"/>
    <w:multiLevelType w:val="multilevel"/>
    <w:tmpl w:val="1228010A"/>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5" w15:restartNumberingAfterBreak="0">
    <w:nsid w:val="3B490F1C"/>
    <w:multiLevelType w:val="multilevel"/>
    <w:tmpl w:val="A566E314"/>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6" w15:restartNumberingAfterBreak="0">
    <w:nsid w:val="44675EC7"/>
    <w:multiLevelType w:val="multilevel"/>
    <w:tmpl w:val="A06025C4"/>
    <w:lvl w:ilvl="0">
      <w:numFmt w:val="bullet"/>
      <w:lvlText w:val="❑"/>
      <w:lvlJc w:val="left"/>
      <w:pPr>
        <w:ind w:left="828" w:hanging="360"/>
      </w:pPr>
      <w:rPr>
        <w:rFonts w:ascii="Noto Sans Symbols" w:eastAsia="Noto Sans Symbols" w:hAnsi="Noto Sans Symbols" w:cs="Noto Sans Symbols"/>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7" w15:restartNumberingAfterBreak="0">
    <w:nsid w:val="6DE529CA"/>
    <w:multiLevelType w:val="multilevel"/>
    <w:tmpl w:val="B9E4E6E8"/>
    <w:lvl w:ilvl="0">
      <w:start w:val="1"/>
      <w:numFmt w:val="bullet"/>
      <w:lvlText w:val="o"/>
      <w:lvlJc w:val="left"/>
      <w:pPr>
        <w:ind w:left="360" w:hanging="360"/>
      </w:pPr>
      <w:rPr>
        <w:rFonts w:ascii="Courier New" w:hAnsi="Courier New" w:cs="Courier New" w:hint="default"/>
      </w:rPr>
    </w:lvl>
    <w:lvl w:ilvl="1">
      <w:numFmt w:val="bullet"/>
      <w:lvlText w:val="•"/>
      <w:lvlJc w:val="left"/>
      <w:pPr>
        <w:ind w:left="772" w:hanging="360"/>
      </w:pPr>
    </w:lvl>
    <w:lvl w:ilvl="2">
      <w:numFmt w:val="bullet"/>
      <w:lvlText w:val="•"/>
      <w:lvlJc w:val="left"/>
      <w:pPr>
        <w:ind w:left="1193" w:hanging="360"/>
      </w:pPr>
    </w:lvl>
    <w:lvl w:ilvl="3">
      <w:numFmt w:val="bullet"/>
      <w:lvlText w:val="•"/>
      <w:lvlJc w:val="left"/>
      <w:pPr>
        <w:ind w:left="1613" w:hanging="360"/>
      </w:pPr>
    </w:lvl>
    <w:lvl w:ilvl="4">
      <w:numFmt w:val="bullet"/>
      <w:lvlText w:val="•"/>
      <w:lvlJc w:val="left"/>
      <w:pPr>
        <w:ind w:left="2034" w:hanging="360"/>
      </w:pPr>
    </w:lvl>
    <w:lvl w:ilvl="5">
      <w:numFmt w:val="bullet"/>
      <w:lvlText w:val="•"/>
      <w:lvlJc w:val="left"/>
      <w:pPr>
        <w:ind w:left="2454" w:hanging="360"/>
      </w:pPr>
    </w:lvl>
    <w:lvl w:ilvl="6">
      <w:numFmt w:val="bullet"/>
      <w:lvlText w:val="•"/>
      <w:lvlJc w:val="left"/>
      <w:pPr>
        <w:ind w:left="2875" w:hanging="360"/>
      </w:pPr>
    </w:lvl>
    <w:lvl w:ilvl="7">
      <w:numFmt w:val="bullet"/>
      <w:lvlText w:val="•"/>
      <w:lvlJc w:val="left"/>
      <w:pPr>
        <w:ind w:left="3295" w:hanging="360"/>
      </w:pPr>
    </w:lvl>
    <w:lvl w:ilvl="8">
      <w:numFmt w:val="bullet"/>
      <w:lvlText w:val="•"/>
      <w:lvlJc w:val="left"/>
      <w:pPr>
        <w:ind w:left="3716" w:hanging="360"/>
      </w:pPr>
    </w:lvl>
  </w:abstractNum>
  <w:abstractNum w:abstractNumId="8" w15:restartNumberingAfterBreak="0">
    <w:nsid w:val="7C964822"/>
    <w:multiLevelType w:val="multilevel"/>
    <w:tmpl w:val="F6D61DE6"/>
    <w:lvl w:ilvl="0">
      <w:numFmt w:val="bullet"/>
      <w:lvlText w:val="❑"/>
      <w:lvlJc w:val="left"/>
      <w:pPr>
        <w:ind w:left="828"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num w:numId="1" w16cid:durableId="1662125293">
    <w:abstractNumId w:val="2"/>
  </w:num>
  <w:num w:numId="2" w16cid:durableId="2029134128">
    <w:abstractNumId w:val="5"/>
  </w:num>
  <w:num w:numId="3" w16cid:durableId="1645045991">
    <w:abstractNumId w:val="6"/>
  </w:num>
  <w:num w:numId="4" w16cid:durableId="1760058692">
    <w:abstractNumId w:val="3"/>
  </w:num>
  <w:num w:numId="5" w16cid:durableId="1072969973">
    <w:abstractNumId w:val="4"/>
  </w:num>
  <w:num w:numId="6" w16cid:durableId="171921284">
    <w:abstractNumId w:val="1"/>
  </w:num>
  <w:num w:numId="7" w16cid:durableId="1762335177">
    <w:abstractNumId w:val="7"/>
  </w:num>
  <w:num w:numId="8" w16cid:durableId="1565406859">
    <w:abstractNumId w:val="0"/>
  </w:num>
  <w:num w:numId="9" w16cid:durableId="1969050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8"/>
    <w:rsid w:val="00035D99"/>
    <w:rsid w:val="00057FCD"/>
    <w:rsid w:val="00062928"/>
    <w:rsid w:val="000E4D50"/>
    <w:rsid w:val="00212691"/>
    <w:rsid w:val="0023176B"/>
    <w:rsid w:val="0027580C"/>
    <w:rsid w:val="0029557C"/>
    <w:rsid w:val="002B064D"/>
    <w:rsid w:val="002D60D3"/>
    <w:rsid w:val="003B6C5C"/>
    <w:rsid w:val="003D4FF3"/>
    <w:rsid w:val="003F4575"/>
    <w:rsid w:val="006E03C2"/>
    <w:rsid w:val="00734B6F"/>
    <w:rsid w:val="00745D17"/>
    <w:rsid w:val="00750FA0"/>
    <w:rsid w:val="0076478F"/>
    <w:rsid w:val="00773EFF"/>
    <w:rsid w:val="007F3D62"/>
    <w:rsid w:val="007F6E06"/>
    <w:rsid w:val="00883798"/>
    <w:rsid w:val="008E300C"/>
    <w:rsid w:val="008E6B0E"/>
    <w:rsid w:val="008F4778"/>
    <w:rsid w:val="009439E7"/>
    <w:rsid w:val="009E6A14"/>
    <w:rsid w:val="00A16512"/>
    <w:rsid w:val="00A8122C"/>
    <w:rsid w:val="00AC5184"/>
    <w:rsid w:val="00AF3F8C"/>
    <w:rsid w:val="00B26B27"/>
    <w:rsid w:val="00B7072F"/>
    <w:rsid w:val="00B93568"/>
    <w:rsid w:val="00BF66F6"/>
    <w:rsid w:val="00C01D60"/>
    <w:rsid w:val="00C52A0E"/>
    <w:rsid w:val="00C71C7C"/>
    <w:rsid w:val="00CD1CE1"/>
    <w:rsid w:val="00CD42D7"/>
    <w:rsid w:val="00D43A81"/>
    <w:rsid w:val="00E1191C"/>
    <w:rsid w:val="00E73D29"/>
    <w:rsid w:val="00E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C3BA6"/>
  <w15:chartTrackingRefBased/>
  <w15:docId w15:val="{8D76E8AA-7641-46DD-A2E5-8503D9C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68"/>
  </w:style>
  <w:style w:type="paragraph" w:styleId="Footer">
    <w:name w:val="footer"/>
    <w:basedOn w:val="Normal"/>
    <w:link w:val="FooterChar"/>
    <w:uiPriority w:val="99"/>
    <w:unhideWhenUsed/>
    <w:rsid w:val="00B9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68"/>
  </w:style>
  <w:style w:type="table" w:styleId="TableGrid">
    <w:name w:val="Table Grid"/>
    <w:basedOn w:val="TableNormal"/>
    <w:uiPriority w:val="39"/>
    <w:rsid w:val="00B9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35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93568"/>
    <w:pPr>
      <w:ind w:left="720"/>
      <w:contextualSpacing/>
    </w:pPr>
  </w:style>
  <w:style w:type="character" w:styleId="CommentReference">
    <w:name w:val="annotation reference"/>
    <w:basedOn w:val="DefaultParagraphFont"/>
    <w:uiPriority w:val="99"/>
    <w:semiHidden/>
    <w:unhideWhenUsed/>
    <w:rsid w:val="00B93568"/>
    <w:rPr>
      <w:sz w:val="16"/>
      <w:szCs w:val="16"/>
    </w:rPr>
  </w:style>
  <w:style w:type="paragraph" w:styleId="CommentText">
    <w:name w:val="annotation text"/>
    <w:basedOn w:val="Normal"/>
    <w:link w:val="CommentTextChar"/>
    <w:uiPriority w:val="99"/>
    <w:unhideWhenUsed/>
    <w:rsid w:val="00B93568"/>
    <w:pPr>
      <w:spacing w:line="240" w:lineRule="auto"/>
    </w:pPr>
    <w:rPr>
      <w:sz w:val="20"/>
      <w:szCs w:val="20"/>
    </w:rPr>
  </w:style>
  <w:style w:type="character" w:customStyle="1" w:styleId="CommentTextChar">
    <w:name w:val="Comment Text Char"/>
    <w:basedOn w:val="DefaultParagraphFont"/>
    <w:link w:val="CommentText"/>
    <w:uiPriority w:val="99"/>
    <w:rsid w:val="00B93568"/>
    <w:rPr>
      <w:sz w:val="20"/>
      <w:szCs w:val="20"/>
    </w:rPr>
  </w:style>
  <w:style w:type="paragraph" w:styleId="CommentSubject">
    <w:name w:val="annotation subject"/>
    <w:basedOn w:val="CommentText"/>
    <w:next w:val="CommentText"/>
    <w:link w:val="CommentSubjectChar"/>
    <w:uiPriority w:val="99"/>
    <w:semiHidden/>
    <w:unhideWhenUsed/>
    <w:rsid w:val="00B93568"/>
    <w:rPr>
      <w:b/>
      <w:bCs/>
    </w:rPr>
  </w:style>
  <w:style w:type="character" w:customStyle="1" w:styleId="CommentSubjectChar">
    <w:name w:val="Comment Subject Char"/>
    <w:basedOn w:val="CommentTextChar"/>
    <w:link w:val="CommentSubject"/>
    <w:uiPriority w:val="99"/>
    <w:semiHidden/>
    <w:rsid w:val="00B93568"/>
    <w:rPr>
      <w:b/>
      <w:bCs/>
      <w:sz w:val="20"/>
      <w:szCs w:val="20"/>
    </w:rPr>
  </w:style>
  <w:style w:type="paragraph" w:styleId="Revision">
    <w:name w:val="Revision"/>
    <w:hidden/>
    <w:uiPriority w:val="99"/>
    <w:semiHidden/>
    <w:rsid w:val="00773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2033</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Lisa Lucke</cp:lastModifiedBy>
  <cp:revision>10</cp:revision>
  <dcterms:created xsi:type="dcterms:W3CDTF">2023-08-14T20:20:00Z</dcterms:created>
  <dcterms:modified xsi:type="dcterms:W3CDTF">2023-11-09T17:49:00Z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9473ee1dd98a2d0c7a700cf01729b7f1b62d22c7232c51ce8bf79f595da616dc</vt:lpwstr>
  </property>
</Properties>
</file>