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DBD5" w14:textId="5399F8D1" w:rsidR="005805FB" w:rsidRDefault="005805FB" w:rsidP="005805FB">
      <w:pPr>
        <w:spacing w:line="288" w:lineRule="atLeast"/>
        <w:ind w:left="360"/>
        <w:jc w:val="center"/>
        <w:textAlignment w:val="baseline"/>
        <w:outlineLvl w:val="1"/>
        <w:rPr>
          <w:rFonts w:ascii="Helvetica" w:eastAsia="Times New Roman" w:hAnsi="Helvetica" w:cs="Open Sans"/>
          <w:b/>
          <w:bCs/>
          <w:color w:val="AE3832"/>
          <w:sz w:val="33"/>
          <w:szCs w:val="33"/>
          <w:bdr w:val="none" w:sz="0" w:space="0" w:color="auto" w:frame="1"/>
        </w:rPr>
      </w:pPr>
      <w:r>
        <w:rPr>
          <w:rFonts w:ascii="Helvetica" w:eastAsia="Times New Roman" w:hAnsi="Helvetica" w:cs="Open Sans"/>
          <w:b/>
          <w:bCs/>
          <w:color w:val="AE3832"/>
          <w:sz w:val="33"/>
          <w:szCs w:val="33"/>
          <w:bdr w:val="none" w:sz="0" w:space="0" w:color="auto" w:frame="1"/>
        </w:rPr>
        <w:t xml:space="preserve">ACCG </w:t>
      </w:r>
      <w:r w:rsidR="00517074">
        <w:rPr>
          <w:rFonts w:ascii="Helvetica" w:eastAsia="Times New Roman" w:hAnsi="Helvetica" w:cs="Open Sans"/>
          <w:b/>
          <w:bCs/>
          <w:color w:val="AE3832"/>
          <w:sz w:val="33"/>
          <w:szCs w:val="33"/>
          <w:bdr w:val="none" w:sz="0" w:space="0" w:color="auto" w:frame="1"/>
        </w:rPr>
        <w:t>2026</w:t>
      </w:r>
      <w:r>
        <w:rPr>
          <w:rFonts w:ascii="Helvetica" w:eastAsia="Times New Roman" w:hAnsi="Helvetica" w:cs="Open Sans"/>
          <w:b/>
          <w:bCs/>
          <w:color w:val="AE3832"/>
          <w:sz w:val="33"/>
          <w:szCs w:val="33"/>
          <w:bdr w:val="none" w:sz="0" w:space="0" w:color="auto" w:frame="1"/>
        </w:rPr>
        <w:t xml:space="preserve"> Annual Priorities</w:t>
      </w:r>
    </w:p>
    <w:p w14:paraId="2ED05EC3" w14:textId="77777777" w:rsidR="005805FB" w:rsidRDefault="005805FB" w:rsidP="005805FB">
      <w:pPr>
        <w:spacing w:line="288" w:lineRule="atLeast"/>
        <w:ind w:left="360"/>
        <w:textAlignment w:val="baseline"/>
        <w:outlineLvl w:val="1"/>
        <w:rPr>
          <w:rFonts w:ascii="Helvetica" w:eastAsia="Times New Roman" w:hAnsi="Helvetica" w:cs="Open Sans"/>
          <w:b/>
          <w:bCs/>
          <w:color w:val="AE3832"/>
          <w:sz w:val="33"/>
          <w:szCs w:val="33"/>
          <w:bdr w:val="none" w:sz="0" w:space="0" w:color="auto" w:frame="1"/>
        </w:rPr>
      </w:pPr>
    </w:p>
    <w:tbl>
      <w:tblPr>
        <w:tblStyle w:val="TableGrid"/>
        <w:tblW w:w="13585" w:type="dxa"/>
        <w:tblLook w:val="04A0" w:firstRow="1" w:lastRow="0" w:firstColumn="1" w:lastColumn="0" w:noHBand="0" w:noVBand="1"/>
      </w:tblPr>
      <w:tblGrid>
        <w:gridCol w:w="10435"/>
        <w:gridCol w:w="3150"/>
      </w:tblGrid>
      <w:tr w:rsidR="00905591" w:rsidRPr="00517074" w14:paraId="223AB150" w14:textId="53B67AB1" w:rsidTr="0031509A">
        <w:trPr>
          <w:tblHeader/>
        </w:trPr>
        <w:tc>
          <w:tcPr>
            <w:tcW w:w="10435" w:type="dxa"/>
            <w:shd w:val="clear" w:color="auto" w:fill="A8D08D" w:themeFill="accent6" w:themeFillTint="99"/>
          </w:tcPr>
          <w:p w14:paraId="5ED3AAAA" w14:textId="4ECF80AA" w:rsidR="00905591" w:rsidRPr="00517074" w:rsidRDefault="00905591" w:rsidP="005805FB">
            <w:pPr>
              <w:spacing w:line="288" w:lineRule="atLeast"/>
              <w:textAlignment w:val="baseline"/>
              <w:outlineLvl w:val="1"/>
              <w:rPr>
                <w:rFonts w:ascii="Open Sans" w:eastAsia="Times New Roman" w:hAnsi="Open Sans" w:cs="Open Sans"/>
                <w:b/>
                <w:bCs/>
                <w:bdr w:val="none" w:sz="0" w:space="0" w:color="auto" w:frame="1"/>
              </w:rPr>
            </w:pPr>
            <w:r>
              <w:rPr>
                <w:rFonts w:ascii="Open Sans" w:eastAsia="Times New Roman" w:hAnsi="Open Sans" w:cs="Open Sans"/>
                <w:b/>
                <w:bCs/>
                <w:bdr w:val="none" w:sz="0" w:space="0" w:color="auto" w:frame="1"/>
              </w:rPr>
              <w:t>Priority</w:t>
            </w:r>
          </w:p>
        </w:tc>
        <w:tc>
          <w:tcPr>
            <w:tcW w:w="3150" w:type="dxa"/>
            <w:shd w:val="clear" w:color="auto" w:fill="A8D08D" w:themeFill="accent6" w:themeFillTint="99"/>
          </w:tcPr>
          <w:p w14:paraId="1A8DAF72" w14:textId="13ECBD5C" w:rsidR="00905591" w:rsidRPr="00517074" w:rsidRDefault="00905591" w:rsidP="005805FB">
            <w:pPr>
              <w:spacing w:line="288" w:lineRule="atLeast"/>
              <w:textAlignment w:val="baseline"/>
              <w:outlineLvl w:val="1"/>
              <w:rPr>
                <w:rFonts w:ascii="Open Sans" w:eastAsia="Times New Roman" w:hAnsi="Open Sans" w:cs="Open Sans"/>
                <w:b/>
                <w:bCs/>
                <w:bdr w:val="none" w:sz="0" w:space="0" w:color="auto" w:frame="1"/>
              </w:rPr>
            </w:pPr>
            <w:r w:rsidRPr="00517074">
              <w:rPr>
                <w:rFonts w:ascii="Open Sans" w:eastAsia="Times New Roman" w:hAnsi="Open Sans" w:cs="Open Sans"/>
                <w:b/>
                <w:bCs/>
                <w:bdr w:val="none" w:sz="0" w:space="0" w:color="auto" w:frame="1"/>
              </w:rPr>
              <w:t>Responsible party</w:t>
            </w:r>
          </w:p>
        </w:tc>
      </w:tr>
      <w:tr w:rsidR="00517074" w:rsidRPr="00517074" w14:paraId="0B0C12C1" w14:textId="77777777" w:rsidTr="00D43245">
        <w:trPr>
          <w:trHeight w:val="1052"/>
        </w:trPr>
        <w:tc>
          <w:tcPr>
            <w:tcW w:w="13585" w:type="dxa"/>
            <w:gridSpan w:val="2"/>
            <w:shd w:val="clear" w:color="auto" w:fill="E2EFD9" w:themeFill="accent6" w:themeFillTint="33"/>
            <w:vAlign w:val="center"/>
          </w:tcPr>
          <w:p w14:paraId="06552228" w14:textId="2C6CB696" w:rsidR="00517074" w:rsidRPr="0031509A" w:rsidRDefault="00517074" w:rsidP="0031509A">
            <w:pPr>
              <w:pStyle w:val="ListParagraph"/>
              <w:numPr>
                <w:ilvl w:val="0"/>
                <w:numId w:val="5"/>
              </w:num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b/>
                <w:bCs/>
                <w:bdr w:val="none" w:sz="0" w:space="0" w:color="auto" w:frame="1"/>
              </w:rPr>
              <w:t>Project planning, development &amp; implementation</w:t>
            </w:r>
            <w:r w:rsidR="00905591" w:rsidRPr="0031509A">
              <w:rPr>
                <w:rFonts w:ascii="Open Sans" w:eastAsia="Times New Roman" w:hAnsi="Open Sans" w:cs="Open Sans"/>
                <w:b/>
                <w:bCs/>
                <w:bdr w:val="none" w:sz="0" w:space="0" w:color="auto" w:frame="1"/>
              </w:rPr>
              <w:t xml:space="preserve">: </w:t>
            </w:r>
            <w:r w:rsidR="00905591" w:rsidRPr="0031509A">
              <w:rPr>
                <w:rFonts w:ascii="Open Sans" w:eastAsia="Times New Roman" w:hAnsi="Open Sans" w:cs="Open Sans"/>
                <w:sz w:val="22"/>
                <w:szCs w:val="22"/>
              </w:rPr>
              <w:t>Continue moving forward with landscape-scale planning while also identifying and securing funding for shovel-ready projects.</w:t>
            </w:r>
          </w:p>
        </w:tc>
      </w:tr>
      <w:tr w:rsidR="00905591" w14:paraId="7F8A609F" w14:textId="1B0E8F02" w:rsidTr="0031509A">
        <w:trPr>
          <w:trHeight w:val="20"/>
        </w:trPr>
        <w:tc>
          <w:tcPr>
            <w:tcW w:w="10435" w:type="dxa"/>
            <w:vAlign w:val="center"/>
          </w:tcPr>
          <w:p w14:paraId="665F2ABA" w14:textId="58E1FC9A" w:rsidR="00905591" w:rsidRPr="0031509A" w:rsidRDefault="00905591" w:rsidP="001A2342">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 xml:space="preserve">Continuing to support and engage with USFS/ UMRWA Forest Projects Plan, Phase I implementation, and planning for MAC project. </w:t>
            </w:r>
          </w:p>
        </w:tc>
        <w:tc>
          <w:tcPr>
            <w:tcW w:w="3150" w:type="dxa"/>
          </w:tcPr>
          <w:p w14:paraId="1890F0CF" w14:textId="327F2DBD" w:rsidR="00905591" w:rsidRPr="0031509A" w:rsidRDefault="00905591"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1509A">
              <w:rPr>
                <w:rFonts w:ascii="Open Sans" w:eastAsia="Times New Roman" w:hAnsi="Open Sans" w:cs="Open Sans"/>
                <w:sz w:val="22"/>
                <w:szCs w:val="22"/>
              </w:rPr>
              <w:t>Planning Work Group</w:t>
            </w:r>
          </w:p>
        </w:tc>
      </w:tr>
      <w:tr w:rsidR="000F2FA4" w14:paraId="7474A58B" w14:textId="77777777" w:rsidTr="0031509A">
        <w:trPr>
          <w:trHeight w:val="20"/>
        </w:trPr>
        <w:tc>
          <w:tcPr>
            <w:tcW w:w="10435" w:type="dxa"/>
            <w:vAlign w:val="center"/>
          </w:tcPr>
          <w:p w14:paraId="2DA94689" w14:textId="0E774A73" w:rsidR="000F2FA4" w:rsidRPr="008A7EB4" w:rsidRDefault="008A7EB4" w:rsidP="001A2342">
            <w:pPr>
              <w:spacing w:line="390" w:lineRule="atLeast"/>
              <w:textAlignment w:val="baseline"/>
              <w:rPr>
                <w:rFonts w:ascii="Open Sans" w:eastAsia="Times New Roman" w:hAnsi="Open Sans" w:cs="Open Sans"/>
                <w:sz w:val="22"/>
                <w:szCs w:val="22"/>
                <w:highlight w:val="yellow"/>
              </w:rPr>
            </w:pPr>
            <w:r w:rsidRPr="008A7EB4">
              <w:rPr>
                <w:rFonts w:ascii="Open Sans" w:eastAsia="Times New Roman" w:hAnsi="Open Sans" w:cs="Open Sans"/>
                <w:sz w:val="22"/>
                <w:szCs w:val="22"/>
                <w:highlight w:val="yellow"/>
              </w:rPr>
              <w:t>Engaging with UMRWA on MAC Project Implementation Plan.</w:t>
            </w:r>
          </w:p>
        </w:tc>
        <w:tc>
          <w:tcPr>
            <w:tcW w:w="3150" w:type="dxa"/>
          </w:tcPr>
          <w:p w14:paraId="5203BCF3" w14:textId="434FF679" w:rsidR="000F2FA4" w:rsidRPr="0031509A" w:rsidRDefault="008A7EB4" w:rsidP="001A2342">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Planning Work Group</w:t>
            </w:r>
          </w:p>
        </w:tc>
      </w:tr>
      <w:tr w:rsidR="00905591" w14:paraId="51601494" w14:textId="09549522" w:rsidTr="0031509A">
        <w:trPr>
          <w:trHeight w:val="20"/>
        </w:trPr>
        <w:tc>
          <w:tcPr>
            <w:tcW w:w="10435" w:type="dxa"/>
            <w:vAlign w:val="center"/>
          </w:tcPr>
          <w:p w14:paraId="58F178EE" w14:textId="695DDC56" w:rsidR="00905591" w:rsidRPr="0031509A" w:rsidRDefault="00905591" w:rsidP="001A2342">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Engaging with the USFS on their 2026 program of work.</w:t>
            </w:r>
          </w:p>
        </w:tc>
        <w:tc>
          <w:tcPr>
            <w:tcW w:w="3150" w:type="dxa"/>
          </w:tcPr>
          <w:p w14:paraId="0CE9DC59" w14:textId="156DDB35" w:rsidR="00905591" w:rsidRPr="0031509A" w:rsidRDefault="00905591"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1509A">
              <w:rPr>
                <w:rFonts w:ascii="Open Sans" w:eastAsia="Times New Roman" w:hAnsi="Open Sans" w:cs="Open Sans"/>
                <w:sz w:val="22"/>
                <w:szCs w:val="22"/>
              </w:rPr>
              <w:t>Planning Work Group</w:t>
            </w:r>
          </w:p>
        </w:tc>
      </w:tr>
      <w:tr w:rsidR="00905591" w14:paraId="14E791A6" w14:textId="24EB8F23" w:rsidTr="0031509A">
        <w:trPr>
          <w:trHeight w:val="20"/>
        </w:trPr>
        <w:tc>
          <w:tcPr>
            <w:tcW w:w="10435" w:type="dxa"/>
            <w:vAlign w:val="center"/>
          </w:tcPr>
          <w:p w14:paraId="678E9CD3" w14:textId="02CC35CA" w:rsidR="00905591" w:rsidRPr="0031509A" w:rsidRDefault="00905591" w:rsidP="001A2342">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Continuing to support large-landscape analyses to help strategically accelerate implementation.</w:t>
            </w:r>
          </w:p>
        </w:tc>
        <w:tc>
          <w:tcPr>
            <w:tcW w:w="3150" w:type="dxa"/>
          </w:tcPr>
          <w:p w14:paraId="7BDEF599" w14:textId="6C2D0035" w:rsidR="00905591" w:rsidRPr="0031509A" w:rsidRDefault="00905591"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1509A">
              <w:rPr>
                <w:rFonts w:ascii="Open Sans" w:eastAsia="Times New Roman" w:hAnsi="Open Sans" w:cs="Open Sans"/>
                <w:sz w:val="22"/>
                <w:szCs w:val="22"/>
              </w:rPr>
              <w:t>Planning Work Group</w:t>
            </w:r>
          </w:p>
        </w:tc>
      </w:tr>
      <w:tr w:rsidR="00905591" w14:paraId="3F81FEBC" w14:textId="6A4479D5" w:rsidTr="0031509A">
        <w:trPr>
          <w:trHeight w:val="20"/>
        </w:trPr>
        <w:tc>
          <w:tcPr>
            <w:tcW w:w="10435" w:type="dxa"/>
            <w:vAlign w:val="center"/>
          </w:tcPr>
          <w:p w14:paraId="1C3BB66A" w14:textId="3ED30483" w:rsidR="00905591" w:rsidRPr="0031509A" w:rsidRDefault="00905591" w:rsidP="001A2342">
            <w:pPr>
              <w:spacing w:line="390" w:lineRule="atLeast"/>
              <w:textAlignment w:val="baseline"/>
              <w:rPr>
                <w:rFonts w:ascii="Open Sans" w:eastAsia="Times New Roman" w:hAnsi="Open Sans" w:cs="Open Sans"/>
                <w:strike/>
                <w:sz w:val="22"/>
                <w:szCs w:val="22"/>
              </w:rPr>
            </w:pPr>
            <w:r w:rsidRPr="0031509A">
              <w:rPr>
                <w:rFonts w:ascii="Open Sans" w:eastAsia="Times New Roman" w:hAnsi="Open Sans" w:cs="Open Sans"/>
                <w:sz w:val="22"/>
                <w:szCs w:val="22"/>
              </w:rPr>
              <w:t>Supporting biomass utilization.</w:t>
            </w:r>
          </w:p>
        </w:tc>
        <w:tc>
          <w:tcPr>
            <w:tcW w:w="3150" w:type="dxa"/>
          </w:tcPr>
          <w:p w14:paraId="6002CA67" w14:textId="1896CC6C" w:rsidR="00905591" w:rsidRPr="0031509A" w:rsidRDefault="00905591"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1509A">
              <w:rPr>
                <w:rFonts w:ascii="Open Sans" w:eastAsia="Times New Roman" w:hAnsi="Open Sans" w:cs="Open Sans"/>
                <w:sz w:val="22"/>
                <w:szCs w:val="22"/>
              </w:rPr>
              <w:t>Planning Work Group</w:t>
            </w:r>
          </w:p>
        </w:tc>
      </w:tr>
      <w:tr w:rsidR="00905591" w14:paraId="31083BF9" w14:textId="3C424A7E" w:rsidTr="0031509A">
        <w:trPr>
          <w:trHeight w:val="692"/>
        </w:trPr>
        <w:tc>
          <w:tcPr>
            <w:tcW w:w="10435" w:type="dxa"/>
            <w:vAlign w:val="center"/>
          </w:tcPr>
          <w:p w14:paraId="648E0DC0" w14:textId="036E8FD3" w:rsidR="00905591" w:rsidRPr="0031509A" w:rsidRDefault="00905591" w:rsidP="001A2342">
            <w:pPr>
              <w:spacing w:line="390" w:lineRule="atLeast"/>
              <w:textAlignment w:val="baseline"/>
              <w:rPr>
                <w:rFonts w:ascii="Open Sans" w:eastAsia="Times New Roman" w:hAnsi="Open Sans" w:cs="Open Sans"/>
                <w:strike/>
                <w:sz w:val="22"/>
                <w:szCs w:val="22"/>
              </w:rPr>
            </w:pPr>
            <w:r w:rsidRPr="0031509A">
              <w:rPr>
                <w:rFonts w:ascii="Open Sans" w:eastAsia="Times New Roman" w:hAnsi="Open Sans" w:cs="Open Sans"/>
                <w:sz w:val="22"/>
                <w:szCs w:val="22"/>
              </w:rPr>
              <w:t>Focusing on projects and activities that increase forest health and meadow and wetland restoration and promote water retention on the landscape to prepare for future droughts.</w:t>
            </w:r>
          </w:p>
        </w:tc>
        <w:tc>
          <w:tcPr>
            <w:tcW w:w="3150" w:type="dxa"/>
          </w:tcPr>
          <w:p w14:paraId="5630961E" w14:textId="23A55411" w:rsidR="00905591" w:rsidRPr="0031509A" w:rsidRDefault="00905591" w:rsidP="001A2342">
            <w:pPr>
              <w:spacing w:line="288" w:lineRule="atLeast"/>
              <w:textAlignment w:val="baseline"/>
              <w:outlineLvl w:val="1"/>
              <w:rPr>
                <w:rFonts w:ascii="Helvetica" w:eastAsia="Times New Roman" w:hAnsi="Helvetica" w:cs="Open Sans"/>
                <w:b/>
                <w:bCs/>
                <w:color w:val="AE3832"/>
                <w:sz w:val="22"/>
                <w:szCs w:val="22"/>
                <w:bdr w:val="none" w:sz="0" w:space="0" w:color="auto" w:frame="1"/>
              </w:rPr>
            </w:pPr>
            <w:r w:rsidRPr="0031509A">
              <w:rPr>
                <w:rFonts w:ascii="Open Sans" w:eastAsia="Times New Roman" w:hAnsi="Open Sans" w:cs="Open Sans"/>
                <w:sz w:val="22"/>
                <w:szCs w:val="22"/>
              </w:rPr>
              <w:t>Planning Work Group</w:t>
            </w:r>
          </w:p>
        </w:tc>
      </w:tr>
      <w:tr w:rsidR="00905591" w14:paraId="48358F1E" w14:textId="77777777" w:rsidTr="0031509A">
        <w:trPr>
          <w:trHeight w:val="20"/>
        </w:trPr>
        <w:tc>
          <w:tcPr>
            <w:tcW w:w="10435" w:type="dxa"/>
            <w:vAlign w:val="center"/>
          </w:tcPr>
          <w:p w14:paraId="1D52C804" w14:textId="4C06BCEE" w:rsidR="00905591" w:rsidRPr="0031509A" w:rsidRDefault="00905591" w:rsidP="001A2342">
            <w:pPr>
              <w:spacing w:line="390" w:lineRule="atLeast"/>
              <w:textAlignment w:val="baseline"/>
              <w:rPr>
                <w:rFonts w:ascii="Open Sans" w:eastAsia="Times New Roman" w:hAnsi="Open Sans" w:cs="Open Sans"/>
                <w:strike/>
                <w:color w:val="666666"/>
                <w:sz w:val="22"/>
                <w:szCs w:val="22"/>
              </w:rPr>
            </w:pPr>
            <w:r w:rsidRPr="0031509A">
              <w:rPr>
                <w:rFonts w:ascii="Open Sans" w:eastAsia="Times New Roman" w:hAnsi="Open Sans" w:cs="Open Sans"/>
                <w:sz w:val="22"/>
                <w:szCs w:val="22"/>
              </w:rPr>
              <w:t>Developing a long-term monitoring plan for the ACCG forested landscape, specifically projects that ACCG has been involved in planning (such as the FPP/MAC component) and strategy to fund that program.</w:t>
            </w:r>
          </w:p>
        </w:tc>
        <w:tc>
          <w:tcPr>
            <w:tcW w:w="3150" w:type="dxa"/>
          </w:tcPr>
          <w:p w14:paraId="0BD01155" w14:textId="4D8FE086" w:rsidR="00905591" w:rsidRPr="0031509A" w:rsidRDefault="00905591" w:rsidP="001A2342">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Monitoring Work Group</w:t>
            </w:r>
          </w:p>
        </w:tc>
      </w:tr>
      <w:tr w:rsidR="00605A6A" w14:paraId="68450E78" w14:textId="77777777" w:rsidTr="0031509A">
        <w:trPr>
          <w:trHeight w:val="576"/>
        </w:trPr>
        <w:tc>
          <w:tcPr>
            <w:tcW w:w="13585" w:type="dxa"/>
            <w:gridSpan w:val="2"/>
            <w:shd w:val="clear" w:color="auto" w:fill="E2EFD9" w:themeFill="accent6" w:themeFillTint="33"/>
            <w:vAlign w:val="center"/>
          </w:tcPr>
          <w:p w14:paraId="59DC01FC" w14:textId="3DF5723C" w:rsidR="00605A6A" w:rsidRPr="0031509A" w:rsidRDefault="00605A6A" w:rsidP="0031509A">
            <w:pPr>
              <w:pStyle w:val="ListParagraph"/>
              <w:numPr>
                <w:ilvl w:val="0"/>
                <w:numId w:val="5"/>
              </w:numPr>
              <w:spacing w:line="288" w:lineRule="atLeast"/>
              <w:textAlignment w:val="baseline"/>
              <w:outlineLvl w:val="1"/>
              <w:rPr>
                <w:rFonts w:ascii="Open Sans" w:eastAsia="Times New Roman" w:hAnsi="Open Sans" w:cs="Open Sans"/>
                <w:b/>
                <w:bCs/>
                <w:sz w:val="22"/>
                <w:szCs w:val="22"/>
              </w:rPr>
            </w:pPr>
            <w:r w:rsidRPr="0031509A">
              <w:rPr>
                <w:rFonts w:ascii="Open Sans" w:eastAsia="Times New Roman" w:hAnsi="Open Sans" w:cs="Open Sans"/>
                <w:b/>
                <w:bCs/>
              </w:rPr>
              <w:t>Partnerships</w:t>
            </w:r>
          </w:p>
        </w:tc>
      </w:tr>
      <w:tr w:rsidR="005019EA" w14:paraId="39406E12" w14:textId="77777777" w:rsidTr="0031509A">
        <w:tc>
          <w:tcPr>
            <w:tcW w:w="10435" w:type="dxa"/>
          </w:tcPr>
          <w:p w14:paraId="35B96585" w14:textId="7837A2E7" w:rsidR="005019EA" w:rsidRPr="0031509A" w:rsidRDefault="005019EA" w:rsidP="00517074">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Encourage development and continue to support partners conducting fuels reduction and forest health projects on all lands within the ACCG landscape.</w:t>
            </w:r>
          </w:p>
        </w:tc>
        <w:tc>
          <w:tcPr>
            <w:tcW w:w="3150" w:type="dxa"/>
          </w:tcPr>
          <w:p w14:paraId="2478617B" w14:textId="33F4B350" w:rsidR="005019EA" w:rsidRPr="0031509A" w:rsidRDefault="005019EA" w:rsidP="005805FB">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Admin Work Group</w:t>
            </w:r>
          </w:p>
        </w:tc>
      </w:tr>
      <w:tr w:rsidR="005019EA" w14:paraId="390D3F5C" w14:textId="77777777" w:rsidTr="0031509A">
        <w:tc>
          <w:tcPr>
            <w:tcW w:w="10435" w:type="dxa"/>
          </w:tcPr>
          <w:p w14:paraId="6BEADBAC" w14:textId="349381EA" w:rsidR="005019EA" w:rsidRPr="0031509A" w:rsidRDefault="005019EA" w:rsidP="00517074">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Build relationships and increase communications with other collaboratives, including SOFAR and YSS, and if the opportunity presents itself, work collaboratively (e.g., Caldor Fire-related restoration to the north with SOFAR, Forest Projects Plan/MAC project to the south with YSS).</w:t>
            </w:r>
          </w:p>
        </w:tc>
        <w:tc>
          <w:tcPr>
            <w:tcW w:w="3150" w:type="dxa"/>
          </w:tcPr>
          <w:p w14:paraId="2BFA3698" w14:textId="22911C3A" w:rsidR="005019EA" w:rsidRPr="0031509A" w:rsidRDefault="005019EA" w:rsidP="005805FB">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Admin Work Group</w:t>
            </w:r>
          </w:p>
        </w:tc>
      </w:tr>
      <w:tr w:rsidR="005019EA" w14:paraId="5127E54E" w14:textId="77777777" w:rsidTr="008A7EB4">
        <w:trPr>
          <w:trHeight w:val="467"/>
        </w:trPr>
        <w:tc>
          <w:tcPr>
            <w:tcW w:w="10435" w:type="dxa"/>
          </w:tcPr>
          <w:p w14:paraId="4B785D9B" w14:textId="201B5772" w:rsidR="005019EA" w:rsidRPr="0031509A" w:rsidRDefault="005019EA" w:rsidP="00517074">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lastRenderedPageBreak/>
              <w:t>Continue to reach out to interested parties to engage with ACCG about the forest health topics.</w:t>
            </w:r>
          </w:p>
        </w:tc>
        <w:tc>
          <w:tcPr>
            <w:tcW w:w="3150" w:type="dxa"/>
          </w:tcPr>
          <w:p w14:paraId="63ABCEC2" w14:textId="6B9086D2" w:rsidR="005019EA" w:rsidRPr="0031509A" w:rsidRDefault="005019EA" w:rsidP="005805FB">
            <w:pPr>
              <w:spacing w:line="288" w:lineRule="atLeast"/>
              <w:textAlignment w:val="baseline"/>
              <w:outlineLvl w:val="1"/>
              <w:rPr>
                <w:rFonts w:ascii="Open Sans" w:eastAsia="Times New Roman" w:hAnsi="Open Sans" w:cs="Open Sans"/>
                <w:sz w:val="22"/>
                <w:szCs w:val="22"/>
              </w:rPr>
            </w:pPr>
            <w:r w:rsidRPr="0031509A">
              <w:rPr>
                <w:rFonts w:ascii="Open Sans" w:eastAsia="Times New Roman" w:hAnsi="Open Sans" w:cs="Open Sans"/>
                <w:sz w:val="22"/>
                <w:szCs w:val="22"/>
              </w:rPr>
              <w:t>Admin Work Group</w:t>
            </w:r>
          </w:p>
        </w:tc>
      </w:tr>
      <w:tr w:rsidR="005019EA" w14:paraId="53256A19" w14:textId="77777777" w:rsidTr="0031509A">
        <w:trPr>
          <w:trHeight w:val="576"/>
        </w:trPr>
        <w:tc>
          <w:tcPr>
            <w:tcW w:w="13585" w:type="dxa"/>
            <w:gridSpan w:val="2"/>
            <w:shd w:val="clear" w:color="auto" w:fill="E2EFD9" w:themeFill="accent6" w:themeFillTint="33"/>
            <w:vAlign w:val="center"/>
          </w:tcPr>
          <w:p w14:paraId="5353DBD5" w14:textId="5AA830E7" w:rsidR="005019EA" w:rsidRPr="0031509A" w:rsidRDefault="005019EA" w:rsidP="0031509A">
            <w:pPr>
              <w:pStyle w:val="ListParagraph"/>
              <w:numPr>
                <w:ilvl w:val="0"/>
                <w:numId w:val="5"/>
              </w:numPr>
              <w:spacing w:line="288" w:lineRule="atLeast"/>
              <w:textAlignment w:val="baseline"/>
              <w:outlineLvl w:val="1"/>
              <w:rPr>
                <w:rFonts w:ascii="Open Sans" w:eastAsia="Times New Roman" w:hAnsi="Open Sans" w:cs="Open Sans"/>
              </w:rPr>
            </w:pPr>
            <w:r w:rsidRPr="0031509A">
              <w:rPr>
                <w:rFonts w:ascii="Open Sans" w:eastAsia="Times New Roman" w:hAnsi="Open Sans" w:cs="Open Sans"/>
                <w:b/>
                <w:bCs/>
                <w:bdr w:val="none" w:sz="0" w:space="0" w:color="auto" w:frame="1"/>
              </w:rPr>
              <w:t>ACCG’s triple bottom line — Local Economies</w:t>
            </w:r>
          </w:p>
        </w:tc>
      </w:tr>
      <w:tr w:rsidR="00C220C6" w14:paraId="06D1B466" w14:textId="77777777" w:rsidTr="0031509A">
        <w:tc>
          <w:tcPr>
            <w:tcW w:w="10435" w:type="dxa"/>
          </w:tcPr>
          <w:p w14:paraId="19E6B286" w14:textId="77777777" w:rsidR="00C220C6" w:rsidRPr="0031509A" w:rsidRDefault="00C220C6" w:rsidP="00C220C6">
            <w:pPr>
              <w:spacing w:line="390" w:lineRule="atLeast"/>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Prioritize putting more attention on the ACCG’s third portion of their triple bottom line approach — local economies. Focus on finding ways to be more effective with this “leg of the stool” of the triple bottom line approach, how to increase opportunities for local workforces in the forestry industry, and how to engage more with local contractors.</w:t>
            </w:r>
          </w:p>
          <w:p w14:paraId="26180C46" w14:textId="77777777" w:rsidR="00C220C6" w:rsidRPr="0031509A" w:rsidRDefault="00C220C6" w:rsidP="00517074">
            <w:pPr>
              <w:spacing w:line="390" w:lineRule="atLeast"/>
              <w:textAlignment w:val="baseline"/>
              <w:rPr>
                <w:rFonts w:ascii="Open Sans" w:eastAsia="Times New Roman" w:hAnsi="Open Sans" w:cs="Open Sans"/>
                <w:sz w:val="22"/>
                <w:szCs w:val="22"/>
              </w:rPr>
            </w:pPr>
          </w:p>
        </w:tc>
        <w:tc>
          <w:tcPr>
            <w:tcW w:w="3150" w:type="dxa"/>
          </w:tcPr>
          <w:p w14:paraId="25E18E72" w14:textId="1F3FBF09" w:rsidR="00C220C6" w:rsidRPr="0031509A" w:rsidRDefault="0031509A" w:rsidP="0031509A">
            <w:pPr>
              <w:pStyle w:val="ListParagraph"/>
              <w:numPr>
                <w:ilvl w:val="0"/>
                <w:numId w:val="3"/>
              </w:numPr>
              <w:spacing w:line="390" w:lineRule="atLeast"/>
              <w:ind w:left="360"/>
              <w:textAlignment w:val="baseline"/>
              <w:rPr>
                <w:rFonts w:ascii="Open Sans" w:eastAsia="Times New Roman" w:hAnsi="Open Sans" w:cs="Open Sans"/>
                <w:sz w:val="22"/>
                <w:szCs w:val="22"/>
              </w:rPr>
            </w:pPr>
            <w:r>
              <w:rPr>
                <w:rFonts w:ascii="Open Sans" w:eastAsia="Times New Roman" w:hAnsi="Open Sans" w:cs="Open Sans"/>
                <w:sz w:val="22"/>
                <w:szCs w:val="22"/>
              </w:rPr>
              <w:t>R</w:t>
            </w:r>
            <w:r w:rsidR="00C220C6" w:rsidRPr="0031509A">
              <w:rPr>
                <w:rFonts w:ascii="Open Sans" w:eastAsia="Times New Roman" w:hAnsi="Open Sans" w:cs="Open Sans"/>
                <w:sz w:val="22"/>
                <w:szCs w:val="22"/>
              </w:rPr>
              <w:t>evised MOA signatories, including UMRWA, Cal Am Team, USFS and CHIPS, may meet to reflect on the topic and bring that back to the full ACCG</w:t>
            </w:r>
          </w:p>
          <w:p w14:paraId="039BB093" w14:textId="4709F082" w:rsidR="00C220C6" w:rsidRPr="0031509A" w:rsidRDefault="00C220C6" w:rsidP="0031509A">
            <w:pPr>
              <w:pStyle w:val="ListParagraph"/>
              <w:numPr>
                <w:ilvl w:val="0"/>
                <w:numId w:val="3"/>
              </w:numPr>
              <w:spacing w:line="390" w:lineRule="atLeast"/>
              <w:ind w:left="360"/>
              <w:textAlignment w:val="baseline"/>
              <w:rPr>
                <w:rFonts w:ascii="Open Sans" w:eastAsia="Times New Roman" w:hAnsi="Open Sans" w:cs="Open Sans"/>
                <w:sz w:val="22"/>
                <w:szCs w:val="22"/>
              </w:rPr>
            </w:pPr>
            <w:r w:rsidRPr="0031509A">
              <w:rPr>
                <w:rFonts w:ascii="Open Sans" w:eastAsia="Times New Roman" w:hAnsi="Open Sans" w:cs="Open Sans"/>
                <w:sz w:val="22"/>
                <w:szCs w:val="22"/>
              </w:rPr>
              <w:t>Monitoring Work Group will prioritize discussion of assessing socio-economic component of projects</w:t>
            </w:r>
          </w:p>
        </w:tc>
      </w:tr>
      <w:tr w:rsidR="0031509A" w14:paraId="07128389" w14:textId="77777777" w:rsidTr="0031509A">
        <w:trPr>
          <w:trHeight w:val="576"/>
        </w:trPr>
        <w:tc>
          <w:tcPr>
            <w:tcW w:w="13585" w:type="dxa"/>
            <w:gridSpan w:val="2"/>
            <w:shd w:val="clear" w:color="auto" w:fill="E2EFD9" w:themeFill="accent6" w:themeFillTint="33"/>
            <w:vAlign w:val="center"/>
          </w:tcPr>
          <w:p w14:paraId="62E5058B" w14:textId="539BB7A2" w:rsidR="0031509A" w:rsidRPr="0031509A" w:rsidRDefault="0031509A" w:rsidP="0031509A">
            <w:pPr>
              <w:pStyle w:val="ListParagraph"/>
              <w:numPr>
                <w:ilvl w:val="0"/>
                <w:numId w:val="5"/>
              </w:numPr>
              <w:spacing w:line="288" w:lineRule="atLeast"/>
              <w:textAlignment w:val="baseline"/>
              <w:outlineLvl w:val="1"/>
              <w:rPr>
                <w:rFonts w:ascii="Open Sans" w:eastAsia="Times New Roman" w:hAnsi="Open Sans" w:cs="Open Sans"/>
                <w:b/>
                <w:bCs/>
              </w:rPr>
            </w:pPr>
            <w:r w:rsidRPr="0031509A">
              <w:rPr>
                <w:rFonts w:ascii="Open Sans" w:eastAsia="Times New Roman" w:hAnsi="Open Sans" w:cs="Open Sans"/>
                <w:b/>
                <w:bCs/>
                <w:bdr w:val="none" w:sz="0" w:space="0" w:color="auto" w:frame="1"/>
              </w:rPr>
              <w:t>Pyrosilviculture Shared Vision</w:t>
            </w:r>
          </w:p>
        </w:tc>
      </w:tr>
      <w:tr w:rsidR="00D43245" w14:paraId="79EC6FDD" w14:textId="77777777" w:rsidTr="008A7EB4">
        <w:trPr>
          <w:trHeight w:val="512"/>
        </w:trPr>
        <w:tc>
          <w:tcPr>
            <w:tcW w:w="10435" w:type="dxa"/>
          </w:tcPr>
          <w:p w14:paraId="77675882" w14:textId="46C4FACC" w:rsidR="00D43245" w:rsidRPr="00517074" w:rsidRDefault="00D43245"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Continue to support implementation of ACCG’s Pyrosilviculture Shared Vision.</w:t>
            </w:r>
          </w:p>
        </w:tc>
        <w:tc>
          <w:tcPr>
            <w:tcW w:w="3150" w:type="dxa"/>
          </w:tcPr>
          <w:p w14:paraId="52BB63B1" w14:textId="5E2DB275" w:rsidR="00D43245" w:rsidRPr="00517074" w:rsidRDefault="00D43245" w:rsidP="005805FB">
            <w:pPr>
              <w:spacing w:line="288" w:lineRule="atLeast"/>
              <w:textAlignment w:val="baseline"/>
              <w:outlineLvl w:val="1"/>
              <w:rPr>
                <w:rFonts w:ascii="Open Sans" w:eastAsia="Times New Roman" w:hAnsi="Open Sans" w:cs="Open Sans"/>
                <w:sz w:val="22"/>
                <w:szCs w:val="22"/>
              </w:rPr>
            </w:pPr>
            <w:r w:rsidRPr="00B95361">
              <w:rPr>
                <w:rFonts w:ascii="Open Sans" w:eastAsia="Times New Roman" w:hAnsi="Open Sans" w:cs="Open Sans"/>
                <w:sz w:val="23"/>
                <w:szCs w:val="23"/>
              </w:rPr>
              <w:t>Planning Work Group</w:t>
            </w:r>
          </w:p>
        </w:tc>
      </w:tr>
      <w:tr w:rsidR="0031509A" w:rsidRPr="0031509A" w14:paraId="5A5DB720" w14:textId="77777777" w:rsidTr="0031509A">
        <w:trPr>
          <w:trHeight w:val="576"/>
        </w:trPr>
        <w:tc>
          <w:tcPr>
            <w:tcW w:w="13585" w:type="dxa"/>
            <w:gridSpan w:val="2"/>
            <w:shd w:val="clear" w:color="auto" w:fill="E2EFD9" w:themeFill="accent6" w:themeFillTint="33"/>
            <w:vAlign w:val="center"/>
          </w:tcPr>
          <w:p w14:paraId="05A3075A" w14:textId="5C90C534" w:rsidR="0031509A" w:rsidRPr="0031509A" w:rsidRDefault="0031509A" w:rsidP="0031509A">
            <w:pPr>
              <w:pStyle w:val="ListParagraph"/>
              <w:numPr>
                <w:ilvl w:val="0"/>
                <w:numId w:val="5"/>
              </w:numPr>
              <w:spacing w:line="288" w:lineRule="atLeast"/>
              <w:textAlignment w:val="baseline"/>
              <w:outlineLvl w:val="1"/>
              <w:rPr>
                <w:rFonts w:ascii="Open Sans" w:eastAsia="Times New Roman" w:hAnsi="Open Sans" w:cs="Open Sans"/>
                <w:b/>
                <w:bCs/>
              </w:rPr>
            </w:pPr>
            <w:r w:rsidRPr="0031509A">
              <w:rPr>
                <w:rFonts w:ascii="Open Sans" w:eastAsia="Times New Roman" w:hAnsi="Open Sans" w:cs="Open Sans"/>
                <w:b/>
                <w:bCs/>
                <w:bdr w:val="none" w:sz="0" w:space="0" w:color="auto" w:frame="1"/>
              </w:rPr>
              <w:t>TEK Shared Vision</w:t>
            </w:r>
          </w:p>
        </w:tc>
      </w:tr>
      <w:tr w:rsidR="00D43245" w14:paraId="2232370C" w14:textId="77777777" w:rsidTr="0031509A">
        <w:tc>
          <w:tcPr>
            <w:tcW w:w="10435" w:type="dxa"/>
          </w:tcPr>
          <w:p w14:paraId="1EE4E9D2" w14:textId="15E42FE5" w:rsidR="00D43245" w:rsidRPr="00517074" w:rsidRDefault="00D43245"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Continue to support implementation of ACCG’s Traditional Ecological Knowledge (TEK) Shared Vision.</w:t>
            </w:r>
          </w:p>
        </w:tc>
        <w:tc>
          <w:tcPr>
            <w:tcW w:w="3150" w:type="dxa"/>
          </w:tcPr>
          <w:p w14:paraId="74C580A5" w14:textId="1A2414E3" w:rsidR="00D43245" w:rsidRPr="0031509A" w:rsidRDefault="00D43245" w:rsidP="0031509A">
            <w:pPr>
              <w:pStyle w:val="ListParagraph"/>
              <w:numPr>
                <w:ilvl w:val="0"/>
                <w:numId w:val="4"/>
              </w:numPr>
              <w:spacing w:line="390" w:lineRule="atLeast"/>
              <w:textAlignment w:val="baseline"/>
              <w:rPr>
                <w:rFonts w:ascii="Open Sans" w:eastAsia="Times New Roman" w:hAnsi="Open Sans" w:cs="Open Sans"/>
                <w:sz w:val="23"/>
                <w:szCs w:val="23"/>
              </w:rPr>
            </w:pPr>
            <w:r w:rsidRPr="0031509A">
              <w:rPr>
                <w:rFonts w:ascii="Open Sans" w:eastAsia="Times New Roman" w:hAnsi="Open Sans" w:cs="Open Sans"/>
                <w:sz w:val="23"/>
                <w:szCs w:val="23"/>
              </w:rPr>
              <w:t>Admin Work Group</w:t>
            </w:r>
          </w:p>
          <w:p w14:paraId="14A78ED5" w14:textId="02425D82" w:rsidR="00D43245" w:rsidRPr="0031509A" w:rsidRDefault="00D43245" w:rsidP="0031509A">
            <w:pPr>
              <w:pStyle w:val="ListParagraph"/>
              <w:numPr>
                <w:ilvl w:val="0"/>
                <w:numId w:val="4"/>
              </w:numPr>
              <w:spacing w:line="390" w:lineRule="atLeast"/>
              <w:textAlignment w:val="baseline"/>
              <w:rPr>
                <w:rFonts w:ascii="Open Sans" w:eastAsia="Times New Roman" w:hAnsi="Open Sans" w:cs="Open Sans"/>
                <w:sz w:val="23"/>
                <w:szCs w:val="23"/>
              </w:rPr>
            </w:pPr>
            <w:r w:rsidRPr="0031509A">
              <w:rPr>
                <w:rFonts w:ascii="Open Sans" w:eastAsia="Times New Roman" w:hAnsi="Open Sans" w:cs="Open Sans"/>
                <w:sz w:val="23"/>
                <w:szCs w:val="23"/>
              </w:rPr>
              <w:t xml:space="preserve">Monitoring Work Group </w:t>
            </w:r>
          </w:p>
          <w:p w14:paraId="3193EEB3" w14:textId="75420EE5" w:rsidR="00D43245" w:rsidRPr="0031509A" w:rsidRDefault="00D43245" w:rsidP="0031509A">
            <w:pPr>
              <w:pStyle w:val="ListParagraph"/>
              <w:numPr>
                <w:ilvl w:val="0"/>
                <w:numId w:val="4"/>
              </w:numPr>
              <w:spacing w:line="390" w:lineRule="atLeast"/>
              <w:textAlignment w:val="baseline"/>
              <w:rPr>
                <w:rFonts w:ascii="Open Sans" w:eastAsia="Times New Roman" w:hAnsi="Open Sans" w:cs="Open Sans"/>
                <w:sz w:val="23"/>
                <w:szCs w:val="23"/>
              </w:rPr>
            </w:pPr>
            <w:r w:rsidRPr="0031509A">
              <w:rPr>
                <w:rFonts w:ascii="Open Sans" w:eastAsia="Times New Roman" w:hAnsi="Open Sans" w:cs="Open Sans"/>
                <w:sz w:val="23"/>
                <w:szCs w:val="23"/>
              </w:rPr>
              <w:t xml:space="preserve">Planning Work Group </w:t>
            </w:r>
          </w:p>
          <w:p w14:paraId="4EEAD675" w14:textId="77777777" w:rsidR="00D43245" w:rsidRPr="00517074" w:rsidRDefault="00D43245" w:rsidP="005805FB">
            <w:pPr>
              <w:spacing w:line="288" w:lineRule="atLeast"/>
              <w:textAlignment w:val="baseline"/>
              <w:outlineLvl w:val="1"/>
              <w:rPr>
                <w:rFonts w:ascii="Open Sans" w:eastAsia="Times New Roman" w:hAnsi="Open Sans" w:cs="Open Sans"/>
                <w:sz w:val="22"/>
                <w:szCs w:val="22"/>
              </w:rPr>
            </w:pPr>
          </w:p>
        </w:tc>
      </w:tr>
      <w:tr w:rsidR="0031509A" w14:paraId="3E2545C0" w14:textId="77777777" w:rsidTr="0031509A">
        <w:trPr>
          <w:trHeight w:val="576"/>
        </w:trPr>
        <w:tc>
          <w:tcPr>
            <w:tcW w:w="13585" w:type="dxa"/>
            <w:gridSpan w:val="2"/>
            <w:shd w:val="clear" w:color="auto" w:fill="E2EFD9" w:themeFill="accent6" w:themeFillTint="33"/>
            <w:vAlign w:val="center"/>
          </w:tcPr>
          <w:p w14:paraId="301F5C50" w14:textId="489B1C48" w:rsidR="0031509A" w:rsidRPr="0031509A" w:rsidRDefault="0031509A" w:rsidP="0031509A">
            <w:pPr>
              <w:pStyle w:val="ListParagraph"/>
              <w:numPr>
                <w:ilvl w:val="0"/>
                <w:numId w:val="5"/>
              </w:numPr>
              <w:spacing w:line="288" w:lineRule="atLeast"/>
              <w:textAlignment w:val="baseline"/>
              <w:outlineLvl w:val="1"/>
              <w:rPr>
                <w:rFonts w:ascii="Open Sans" w:eastAsia="Times New Roman" w:hAnsi="Open Sans" w:cs="Open Sans"/>
                <w:b/>
                <w:bCs/>
              </w:rPr>
            </w:pPr>
            <w:r w:rsidRPr="0031509A">
              <w:rPr>
                <w:rFonts w:ascii="Open Sans" w:eastAsia="Times New Roman" w:hAnsi="Open Sans" w:cs="Open Sans"/>
                <w:b/>
                <w:bCs/>
                <w:bdr w:val="none" w:sz="0" w:space="0" w:color="auto" w:frame="1"/>
              </w:rPr>
              <w:lastRenderedPageBreak/>
              <w:t>Communication &amp; Engagement</w:t>
            </w:r>
          </w:p>
        </w:tc>
      </w:tr>
      <w:tr w:rsidR="00D43245" w14:paraId="0EF439EA" w14:textId="77777777" w:rsidTr="0031509A">
        <w:tc>
          <w:tcPr>
            <w:tcW w:w="10435" w:type="dxa"/>
          </w:tcPr>
          <w:p w14:paraId="36E5AA90" w14:textId="61F1F926" w:rsidR="00D43245" w:rsidRPr="00517074" w:rsidRDefault="00680BF0"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ACCG representative</w:t>
            </w:r>
            <w:r>
              <w:rPr>
                <w:rFonts w:ascii="Open Sans" w:eastAsia="Times New Roman" w:hAnsi="Open Sans" w:cs="Open Sans"/>
                <w:sz w:val="23"/>
                <w:szCs w:val="23"/>
              </w:rPr>
              <w:t>(s)</w:t>
            </w:r>
            <w:r w:rsidRPr="00B95361">
              <w:rPr>
                <w:rFonts w:ascii="Open Sans" w:eastAsia="Times New Roman" w:hAnsi="Open Sans" w:cs="Open Sans"/>
                <w:sz w:val="23"/>
                <w:szCs w:val="23"/>
              </w:rPr>
              <w:t xml:space="preserve"> effectively engage with federal and state entities.</w:t>
            </w:r>
          </w:p>
        </w:tc>
        <w:tc>
          <w:tcPr>
            <w:tcW w:w="3150" w:type="dxa"/>
          </w:tcPr>
          <w:p w14:paraId="441F237D" w14:textId="540A68F3" w:rsidR="00680BF0" w:rsidRPr="00B95361" w:rsidRDefault="00680BF0" w:rsidP="0031509A">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Admin Work Group</w:t>
            </w:r>
          </w:p>
          <w:p w14:paraId="23CD1D92" w14:textId="77777777" w:rsidR="00D43245" w:rsidRPr="00517074" w:rsidRDefault="00D43245" w:rsidP="005805FB">
            <w:pPr>
              <w:spacing w:line="288" w:lineRule="atLeast"/>
              <w:textAlignment w:val="baseline"/>
              <w:outlineLvl w:val="1"/>
              <w:rPr>
                <w:rFonts w:ascii="Open Sans" w:eastAsia="Times New Roman" w:hAnsi="Open Sans" w:cs="Open Sans"/>
                <w:sz w:val="22"/>
                <w:szCs w:val="22"/>
              </w:rPr>
            </w:pPr>
          </w:p>
        </w:tc>
      </w:tr>
      <w:tr w:rsidR="00D43245" w14:paraId="6B6E60DA" w14:textId="77777777" w:rsidTr="0031509A">
        <w:tc>
          <w:tcPr>
            <w:tcW w:w="10435" w:type="dxa"/>
          </w:tcPr>
          <w:p w14:paraId="2A739B22" w14:textId="508AB8F3" w:rsidR="00D43245" w:rsidRPr="00517074" w:rsidRDefault="00680BF0" w:rsidP="00517074">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Continue to have relevant expert presentations.</w:t>
            </w:r>
          </w:p>
        </w:tc>
        <w:tc>
          <w:tcPr>
            <w:tcW w:w="3150" w:type="dxa"/>
          </w:tcPr>
          <w:p w14:paraId="3BDA4637" w14:textId="2E692272" w:rsidR="00680BF0" w:rsidRPr="00B95361" w:rsidRDefault="00680BF0" w:rsidP="0031509A">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Admin Work Group</w:t>
            </w:r>
          </w:p>
          <w:p w14:paraId="301331E8" w14:textId="77777777" w:rsidR="00D43245" w:rsidRPr="00517074" w:rsidRDefault="00D43245" w:rsidP="005805FB">
            <w:pPr>
              <w:spacing w:line="288" w:lineRule="atLeast"/>
              <w:textAlignment w:val="baseline"/>
              <w:outlineLvl w:val="1"/>
              <w:rPr>
                <w:rFonts w:ascii="Open Sans" w:eastAsia="Times New Roman" w:hAnsi="Open Sans" w:cs="Open Sans"/>
                <w:sz w:val="22"/>
                <w:szCs w:val="22"/>
              </w:rPr>
            </w:pPr>
          </w:p>
        </w:tc>
      </w:tr>
      <w:tr w:rsidR="00D43245" w14:paraId="202491C2" w14:textId="77777777" w:rsidTr="0031509A">
        <w:tc>
          <w:tcPr>
            <w:tcW w:w="10435" w:type="dxa"/>
          </w:tcPr>
          <w:p w14:paraId="22472200" w14:textId="7482C41A" w:rsidR="00D43245" w:rsidRPr="00517074" w:rsidRDefault="00680BF0" w:rsidP="00517074">
            <w:pPr>
              <w:spacing w:line="390" w:lineRule="atLeast"/>
              <w:textAlignment w:val="baseline"/>
              <w:rPr>
                <w:rFonts w:ascii="Open Sans" w:eastAsia="Times New Roman" w:hAnsi="Open Sans" w:cs="Open Sans"/>
                <w:sz w:val="23"/>
                <w:szCs w:val="23"/>
              </w:rPr>
            </w:pPr>
            <w:r>
              <w:rPr>
                <w:rFonts w:ascii="Open Sans" w:eastAsia="Times New Roman" w:hAnsi="Open Sans" w:cs="Open Sans"/>
                <w:sz w:val="23"/>
                <w:szCs w:val="23"/>
              </w:rPr>
              <w:t>Developing a long</w:t>
            </w:r>
            <w:r w:rsidR="0031509A">
              <w:rPr>
                <w:rFonts w:ascii="Open Sans" w:eastAsia="Times New Roman" w:hAnsi="Open Sans" w:cs="Open Sans"/>
                <w:sz w:val="23"/>
                <w:szCs w:val="23"/>
              </w:rPr>
              <w:t>-</w:t>
            </w:r>
            <w:r>
              <w:rPr>
                <w:rFonts w:ascii="Open Sans" w:eastAsia="Times New Roman" w:hAnsi="Open Sans" w:cs="Open Sans"/>
                <w:sz w:val="23"/>
                <w:szCs w:val="23"/>
              </w:rPr>
              <w:t>term funding plan for the ACCG administration.</w:t>
            </w:r>
          </w:p>
        </w:tc>
        <w:tc>
          <w:tcPr>
            <w:tcW w:w="3150" w:type="dxa"/>
          </w:tcPr>
          <w:p w14:paraId="71AA96D2" w14:textId="125B4609" w:rsidR="00680BF0" w:rsidRPr="00B95361" w:rsidRDefault="00680BF0" w:rsidP="0031509A">
            <w:pPr>
              <w:spacing w:line="390" w:lineRule="atLeast"/>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Admin Work Group</w:t>
            </w:r>
          </w:p>
          <w:p w14:paraId="1DF020BC" w14:textId="77777777" w:rsidR="00D43245" w:rsidRPr="00517074" w:rsidRDefault="00D43245" w:rsidP="005805FB">
            <w:pPr>
              <w:spacing w:line="288" w:lineRule="atLeast"/>
              <w:textAlignment w:val="baseline"/>
              <w:outlineLvl w:val="1"/>
              <w:rPr>
                <w:rFonts w:ascii="Open Sans" w:eastAsia="Times New Roman" w:hAnsi="Open Sans" w:cs="Open Sans"/>
                <w:sz w:val="22"/>
                <w:szCs w:val="22"/>
              </w:rPr>
            </w:pPr>
          </w:p>
        </w:tc>
      </w:tr>
    </w:tbl>
    <w:p w14:paraId="3543BB9D" w14:textId="77777777" w:rsidR="003D20B9" w:rsidRPr="00730A78" w:rsidRDefault="003D20B9" w:rsidP="00730A78">
      <w:pPr>
        <w:spacing w:line="390" w:lineRule="atLeast"/>
        <w:ind w:left="720"/>
        <w:textAlignment w:val="baseline"/>
        <w:rPr>
          <w:rFonts w:ascii="Open Sans" w:eastAsia="Times New Roman" w:hAnsi="Open Sans" w:cs="Open Sans"/>
          <w:color w:val="666666"/>
          <w:sz w:val="23"/>
          <w:szCs w:val="23"/>
        </w:rPr>
      </w:pPr>
    </w:p>
    <w:p w14:paraId="520E5538" w14:textId="77777777" w:rsidR="00730A78" w:rsidRPr="00B95361" w:rsidRDefault="00730A78" w:rsidP="00730A78">
      <w:pPr>
        <w:spacing w:line="390" w:lineRule="atLeast"/>
        <w:ind w:left="720"/>
        <w:textAlignment w:val="baseline"/>
        <w:rPr>
          <w:rFonts w:ascii="Open Sans" w:eastAsia="Times New Roman" w:hAnsi="Open Sans" w:cs="Open Sans"/>
          <w:sz w:val="23"/>
          <w:szCs w:val="23"/>
        </w:rPr>
      </w:pPr>
      <w:r w:rsidRPr="00B95361">
        <w:rPr>
          <w:rFonts w:ascii="Open Sans" w:eastAsia="Times New Roman" w:hAnsi="Open Sans" w:cs="Open Sans"/>
          <w:sz w:val="23"/>
          <w:szCs w:val="23"/>
        </w:rPr>
        <w:t> </w:t>
      </w:r>
    </w:p>
    <w:p w14:paraId="0440B621" w14:textId="77777777" w:rsidR="003D20B9" w:rsidRDefault="003D20B9" w:rsidP="00680BF0">
      <w:pPr>
        <w:spacing w:line="288" w:lineRule="atLeast"/>
        <w:textAlignment w:val="baseline"/>
        <w:outlineLvl w:val="1"/>
        <w:rPr>
          <w:rFonts w:ascii="Helvetica" w:eastAsia="Times New Roman" w:hAnsi="Helvetica" w:cs="Open Sans"/>
          <w:b/>
          <w:bCs/>
          <w:color w:val="AE3832"/>
          <w:sz w:val="33"/>
          <w:szCs w:val="33"/>
          <w:bdr w:val="none" w:sz="0" w:space="0" w:color="auto" w:frame="1"/>
        </w:rPr>
      </w:pPr>
    </w:p>
    <w:p w14:paraId="1B4F69D4" w14:textId="77777777" w:rsidR="0056702C" w:rsidRPr="00B95361" w:rsidRDefault="0056702C"/>
    <w:sectPr w:rsidR="0056702C" w:rsidRPr="00B95361" w:rsidSect="00016CF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CA3C" w14:textId="77777777" w:rsidR="00111BA3" w:rsidRDefault="00111BA3" w:rsidP="00B52715">
      <w:r>
        <w:separator/>
      </w:r>
    </w:p>
  </w:endnote>
  <w:endnote w:type="continuationSeparator" w:id="0">
    <w:p w14:paraId="699FB3A0" w14:textId="77777777" w:rsidR="00111BA3" w:rsidRDefault="00111BA3" w:rsidP="00B5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FD01" w14:textId="77777777" w:rsidR="00A86726" w:rsidRDefault="00A86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766009"/>
      <w:docPartObj>
        <w:docPartGallery w:val="Page Numbers (Bottom of Page)"/>
        <w:docPartUnique/>
      </w:docPartObj>
    </w:sdtPr>
    <w:sdtEndPr>
      <w:rPr>
        <w:noProof/>
      </w:rPr>
    </w:sdtEndPr>
    <w:sdtContent>
      <w:p w14:paraId="71CDB3A4" w14:textId="5B4A018A" w:rsidR="00D43245" w:rsidRDefault="00A86726">
        <w:pPr>
          <w:pStyle w:val="Footer"/>
          <w:jc w:val="right"/>
        </w:pPr>
        <w:r w:rsidRPr="00A86726">
          <w:t>ACCG 2026 Annual Priorities</w:t>
        </w:r>
        <w:r>
          <w:t xml:space="preserve">, </w:t>
        </w:r>
        <w:r w:rsidR="00D43245">
          <w:fldChar w:fldCharType="begin"/>
        </w:r>
        <w:r w:rsidR="00D43245">
          <w:instrText xml:space="preserve"> PAGE   \* MERGEFORMAT </w:instrText>
        </w:r>
        <w:r w:rsidR="00D43245">
          <w:fldChar w:fldCharType="separate"/>
        </w:r>
        <w:r w:rsidR="00D43245">
          <w:rPr>
            <w:noProof/>
          </w:rPr>
          <w:t>2</w:t>
        </w:r>
        <w:r w:rsidR="00D43245">
          <w:rPr>
            <w:noProof/>
          </w:rPr>
          <w:fldChar w:fldCharType="end"/>
        </w:r>
      </w:p>
    </w:sdtContent>
  </w:sdt>
  <w:p w14:paraId="3F299F4A" w14:textId="77777777" w:rsidR="00B52715" w:rsidRDefault="00B52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5F22" w14:textId="77777777" w:rsidR="00A86726" w:rsidRDefault="00A86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326E9" w14:textId="77777777" w:rsidR="00111BA3" w:rsidRDefault="00111BA3" w:rsidP="00B52715">
      <w:r>
        <w:separator/>
      </w:r>
    </w:p>
  </w:footnote>
  <w:footnote w:type="continuationSeparator" w:id="0">
    <w:p w14:paraId="3DCA91FF" w14:textId="77777777" w:rsidR="00111BA3" w:rsidRDefault="00111BA3" w:rsidP="00B5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80D7" w14:textId="77777777" w:rsidR="00A86726" w:rsidRDefault="00A86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56501"/>
      <w:docPartObj>
        <w:docPartGallery w:val="Watermarks"/>
        <w:docPartUnique/>
      </w:docPartObj>
    </w:sdtPr>
    <w:sdtContent>
      <w:p w14:paraId="33F04CA1" w14:textId="121E79E9" w:rsidR="00A86726" w:rsidRDefault="00000000">
        <w:pPr>
          <w:pStyle w:val="Header"/>
        </w:pPr>
        <w:r>
          <w:rPr>
            <w:noProof/>
          </w:rPr>
          <w:pict w14:anchorId="686341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09A4" w14:textId="77777777" w:rsidR="00A86726" w:rsidRDefault="00A86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2749"/>
    <w:multiLevelType w:val="hybridMultilevel"/>
    <w:tmpl w:val="CFFC8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DB2248"/>
    <w:multiLevelType w:val="hybridMultilevel"/>
    <w:tmpl w:val="CF2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460E4"/>
    <w:multiLevelType w:val="hybridMultilevel"/>
    <w:tmpl w:val="DE922AB0"/>
    <w:lvl w:ilvl="0" w:tplc="8006CB54">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F0734EA"/>
    <w:multiLevelType w:val="hybridMultilevel"/>
    <w:tmpl w:val="4202C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410239"/>
    <w:multiLevelType w:val="multilevel"/>
    <w:tmpl w:val="E82CA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926458">
    <w:abstractNumId w:val="4"/>
  </w:num>
  <w:num w:numId="2" w16cid:durableId="211885115">
    <w:abstractNumId w:val="3"/>
  </w:num>
  <w:num w:numId="3" w16cid:durableId="1941646459">
    <w:abstractNumId w:val="1"/>
  </w:num>
  <w:num w:numId="4" w16cid:durableId="1485976009">
    <w:abstractNumId w:val="0"/>
  </w:num>
  <w:num w:numId="5" w16cid:durableId="1711493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78"/>
    <w:rsid w:val="00016CF1"/>
    <w:rsid w:val="000431F9"/>
    <w:rsid w:val="000442F9"/>
    <w:rsid w:val="0008749B"/>
    <w:rsid w:val="000A1162"/>
    <w:rsid w:val="000C37FE"/>
    <w:rsid w:val="000F2FA4"/>
    <w:rsid w:val="00111054"/>
    <w:rsid w:val="00111BA3"/>
    <w:rsid w:val="0014024B"/>
    <w:rsid w:val="001A2342"/>
    <w:rsid w:val="001C5224"/>
    <w:rsid w:val="001D3C42"/>
    <w:rsid w:val="001F7DBF"/>
    <w:rsid w:val="00227D86"/>
    <w:rsid w:val="002A7802"/>
    <w:rsid w:val="002F31E5"/>
    <w:rsid w:val="0031509A"/>
    <w:rsid w:val="003222CB"/>
    <w:rsid w:val="003B4D1E"/>
    <w:rsid w:val="003D20B9"/>
    <w:rsid w:val="00462A10"/>
    <w:rsid w:val="00494780"/>
    <w:rsid w:val="004A13D8"/>
    <w:rsid w:val="004B3CC8"/>
    <w:rsid w:val="005019EA"/>
    <w:rsid w:val="005070A2"/>
    <w:rsid w:val="00513B7F"/>
    <w:rsid w:val="00517074"/>
    <w:rsid w:val="005202CC"/>
    <w:rsid w:val="00562607"/>
    <w:rsid w:val="0056702C"/>
    <w:rsid w:val="005805FB"/>
    <w:rsid w:val="005A6A40"/>
    <w:rsid w:val="005F2A4E"/>
    <w:rsid w:val="005F5692"/>
    <w:rsid w:val="00605A6A"/>
    <w:rsid w:val="00633845"/>
    <w:rsid w:val="00636ABE"/>
    <w:rsid w:val="00640986"/>
    <w:rsid w:val="00680BF0"/>
    <w:rsid w:val="006B3E62"/>
    <w:rsid w:val="00730A78"/>
    <w:rsid w:val="00755057"/>
    <w:rsid w:val="007859EC"/>
    <w:rsid w:val="00794F1B"/>
    <w:rsid w:val="007A3628"/>
    <w:rsid w:val="007A3DE9"/>
    <w:rsid w:val="007C2F1E"/>
    <w:rsid w:val="007E6844"/>
    <w:rsid w:val="007F305A"/>
    <w:rsid w:val="0088599E"/>
    <w:rsid w:val="008A7EB4"/>
    <w:rsid w:val="00905591"/>
    <w:rsid w:val="00963705"/>
    <w:rsid w:val="009661B4"/>
    <w:rsid w:val="0097468A"/>
    <w:rsid w:val="00995B5F"/>
    <w:rsid w:val="009A5CC1"/>
    <w:rsid w:val="009C20A2"/>
    <w:rsid w:val="009E1B8B"/>
    <w:rsid w:val="009E5E1E"/>
    <w:rsid w:val="009E6EE2"/>
    <w:rsid w:val="00A33CE0"/>
    <w:rsid w:val="00A469E4"/>
    <w:rsid w:val="00A761D6"/>
    <w:rsid w:val="00A86726"/>
    <w:rsid w:val="00AA4F35"/>
    <w:rsid w:val="00AA5B41"/>
    <w:rsid w:val="00AC0B52"/>
    <w:rsid w:val="00AD0B6F"/>
    <w:rsid w:val="00AE0E50"/>
    <w:rsid w:val="00AF137E"/>
    <w:rsid w:val="00B11AE7"/>
    <w:rsid w:val="00B17ABC"/>
    <w:rsid w:val="00B52715"/>
    <w:rsid w:val="00B67508"/>
    <w:rsid w:val="00B67D31"/>
    <w:rsid w:val="00B76068"/>
    <w:rsid w:val="00B95361"/>
    <w:rsid w:val="00BB71F7"/>
    <w:rsid w:val="00BE02E7"/>
    <w:rsid w:val="00C11905"/>
    <w:rsid w:val="00C220C6"/>
    <w:rsid w:val="00C25761"/>
    <w:rsid w:val="00CB5FFB"/>
    <w:rsid w:val="00D13FAE"/>
    <w:rsid w:val="00D259FE"/>
    <w:rsid w:val="00D27E32"/>
    <w:rsid w:val="00D43245"/>
    <w:rsid w:val="00DD526D"/>
    <w:rsid w:val="00E25A8E"/>
    <w:rsid w:val="00E32B4E"/>
    <w:rsid w:val="00E370FD"/>
    <w:rsid w:val="00E7022D"/>
    <w:rsid w:val="00E831EF"/>
    <w:rsid w:val="00ED1F48"/>
    <w:rsid w:val="00EE5416"/>
    <w:rsid w:val="00F06F96"/>
    <w:rsid w:val="00F300C9"/>
    <w:rsid w:val="00F32E38"/>
    <w:rsid w:val="00F736D0"/>
    <w:rsid w:val="00F905C1"/>
    <w:rsid w:val="00FA03AB"/>
    <w:rsid w:val="00FB2C8D"/>
    <w:rsid w:val="00FB4048"/>
    <w:rsid w:val="00FB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A695E"/>
  <w15:chartTrackingRefBased/>
  <w15:docId w15:val="{7E08F20F-C2B9-D347-A4C0-7A7CA7EF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0A7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0A78"/>
    <w:rPr>
      <w:rFonts w:ascii="Times New Roman" w:eastAsia="Times New Roman" w:hAnsi="Times New Roman" w:cs="Times New Roman"/>
      <w:b/>
      <w:bCs/>
      <w:sz w:val="36"/>
      <w:szCs w:val="36"/>
    </w:rPr>
  </w:style>
  <w:style w:type="character" w:styleId="Strong">
    <w:name w:val="Strong"/>
    <w:basedOn w:val="DefaultParagraphFont"/>
    <w:uiPriority w:val="22"/>
    <w:qFormat/>
    <w:rsid w:val="00730A78"/>
    <w:rPr>
      <w:b/>
      <w:bCs/>
    </w:rPr>
  </w:style>
  <w:style w:type="paragraph" w:styleId="NormalWeb">
    <w:name w:val="Normal (Web)"/>
    <w:basedOn w:val="Normal"/>
    <w:uiPriority w:val="99"/>
    <w:semiHidden/>
    <w:unhideWhenUsed/>
    <w:rsid w:val="00730A7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730A78"/>
  </w:style>
  <w:style w:type="paragraph" w:styleId="ListParagraph">
    <w:name w:val="List Paragraph"/>
    <w:basedOn w:val="Normal"/>
    <w:uiPriority w:val="34"/>
    <w:qFormat/>
    <w:rsid w:val="00730A78"/>
    <w:pPr>
      <w:ind w:left="720"/>
      <w:contextualSpacing/>
    </w:pPr>
  </w:style>
  <w:style w:type="paragraph" w:styleId="Revision">
    <w:name w:val="Revision"/>
    <w:hidden/>
    <w:uiPriority w:val="99"/>
    <w:semiHidden/>
    <w:rsid w:val="009C20A2"/>
  </w:style>
  <w:style w:type="paragraph" w:styleId="Header">
    <w:name w:val="header"/>
    <w:basedOn w:val="Normal"/>
    <w:link w:val="HeaderChar"/>
    <w:uiPriority w:val="99"/>
    <w:unhideWhenUsed/>
    <w:rsid w:val="00B52715"/>
    <w:pPr>
      <w:tabs>
        <w:tab w:val="center" w:pos="4680"/>
        <w:tab w:val="right" w:pos="9360"/>
      </w:tabs>
    </w:pPr>
  </w:style>
  <w:style w:type="character" w:customStyle="1" w:styleId="HeaderChar">
    <w:name w:val="Header Char"/>
    <w:basedOn w:val="DefaultParagraphFont"/>
    <w:link w:val="Header"/>
    <w:uiPriority w:val="99"/>
    <w:rsid w:val="00B52715"/>
  </w:style>
  <w:style w:type="paragraph" w:styleId="Footer">
    <w:name w:val="footer"/>
    <w:basedOn w:val="Normal"/>
    <w:link w:val="FooterChar"/>
    <w:uiPriority w:val="99"/>
    <w:unhideWhenUsed/>
    <w:rsid w:val="00B52715"/>
    <w:pPr>
      <w:tabs>
        <w:tab w:val="center" w:pos="4680"/>
        <w:tab w:val="right" w:pos="9360"/>
      </w:tabs>
    </w:pPr>
  </w:style>
  <w:style w:type="character" w:customStyle="1" w:styleId="FooterChar">
    <w:name w:val="Footer Char"/>
    <w:basedOn w:val="DefaultParagraphFont"/>
    <w:link w:val="Footer"/>
    <w:uiPriority w:val="99"/>
    <w:rsid w:val="00B52715"/>
  </w:style>
  <w:style w:type="table" w:styleId="TableGrid">
    <w:name w:val="Table Grid"/>
    <w:basedOn w:val="TableNormal"/>
    <w:uiPriority w:val="39"/>
    <w:rsid w:val="00517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031980">
      <w:bodyDiv w:val="1"/>
      <w:marLeft w:val="0"/>
      <w:marRight w:val="0"/>
      <w:marTop w:val="0"/>
      <w:marBottom w:val="0"/>
      <w:divBdr>
        <w:top w:val="none" w:sz="0" w:space="0" w:color="auto"/>
        <w:left w:val="none" w:sz="0" w:space="0" w:color="auto"/>
        <w:bottom w:val="none" w:sz="0" w:space="0" w:color="auto"/>
        <w:right w:val="none" w:sz="0" w:space="0" w:color="auto"/>
      </w:divBdr>
      <w:divsChild>
        <w:div w:id="1002007598">
          <w:marLeft w:val="0"/>
          <w:marRight w:val="0"/>
          <w:marTop w:val="0"/>
          <w:marBottom w:val="240"/>
          <w:divBdr>
            <w:top w:val="none" w:sz="0" w:space="0" w:color="auto"/>
            <w:left w:val="none" w:sz="0" w:space="0" w:color="auto"/>
            <w:bottom w:val="none" w:sz="0" w:space="0" w:color="auto"/>
            <w:right w:val="none" w:sz="0" w:space="0" w:color="auto"/>
          </w:divBdr>
          <w:divsChild>
            <w:div w:id="1657143845">
              <w:marLeft w:val="0"/>
              <w:marRight w:val="0"/>
              <w:marTop w:val="0"/>
              <w:marBottom w:val="0"/>
              <w:divBdr>
                <w:top w:val="none" w:sz="0" w:space="0" w:color="auto"/>
                <w:left w:val="none" w:sz="0" w:space="0" w:color="auto"/>
                <w:bottom w:val="none" w:sz="0" w:space="0" w:color="auto"/>
                <w:right w:val="none" w:sz="0" w:space="0" w:color="auto"/>
              </w:divBdr>
              <w:divsChild>
                <w:div w:id="1356275909">
                  <w:marLeft w:val="0"/>
                  <w:marRight w:val="0"/>
                  <w:marTop w:val="0"/>
                  <w:marBottom w:val="0"/>
                  <w:divBdr>
                    <w:top w:val="none" w:sz="0" w:space="0" w:color="auto"/>
                    <w:left w:val="none" w:sz="0" w:space="0" w:color="auto"/>
                    <w:bottom w:val="none" w:sz="0" w:space="0" w:color="auto"/>
                    <w:right w:val="none" w:sz="0" w:space="0" w:color="auto"/>
                  </w:divBdr>
                </w:div>
                <w:div w:id="888766448">
                  <w:marLeft w:val="0"/>
                  <w:marRight w:val="0"/>
                  <w:marTop w:val="0"/>
                  <w:marBottom w:val="0"/>
                  <w:divBdr>
                    <w:top w:val="none" w:sz="0" w:space="0" w:color="auto"/>
                    <w:left w:val="none" w:sz="0" w:space="0" w:color="auto"/>
                    <w:bottom w:val="none" w:sz="0" w:space="0" w:color="auto"/>
                    <w:right w:val="none" w:sz="0" w:space="0" w:color="auto"/>
                  </w:divBdr>
                </w:div>
                <w:div w:id="1215579679">
                  <w:marLeft w:val="0"/>
                  <w:marRight w:val="0"/>
                  <w:marTop w:val="0"/>
                  <w:marBottom w:val="0"/>
                  <w:divBdr>
                    <w:top w:val="none" w:sz="0" w:space="0" w:color="auto"/>
                    <w:left w:val="none" w:sz="0" w:space="0" w:color="auto"/>
                    <w:bottom w:val="none" w:sz="0" w:space="0" w:color="auto"/>
                    <w:right w:val="none" w:sz="0" w:space="0" w:color="auto"/>
                  </w:divBdr>
                </w:div>
                <w:div w:id="510531421">
                  <w:marLeft w:val="0"/>
                  <w:marRight w:val="0"/>
                  <w:marTop w:val="0"/>
                  <w:marBottom w:val="0"/>
                  <w:divBdr>
                    <w:top w:val="none" w:sz="0" w:space="0" w:color="auto"/>
                    <w:left w:val="none" w:sz="0" w:space="0" w:color="auto"/>
                    <w:bottom w:val="none" w:sz="0" w:space="0" w:color="auto"/>
                    <w:right w:val="none" w:sz="0" w:space="0" w:color="auto"/>
                  </w:divBdr>
                </w:div>
                <w:div w:id="13540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6059">
          <w:marLeft w:val="0"/>
          <w:marRight w:val="0"/>
          <w:marTop w:val="0"/>
          <w:marBottom w:val="240"/>
          <w:divBdr>
            <w:top w:val="none" w:sz="0" w:space="0" w:color="auto"/>
            <w:left w:val="none" w:sz="0" w:space="0" w:color="auto"/>
            <w:bottom w:val="none" w:sz="0" w:space="0" w:color="auto"/>
            <w:right w:val="none" w:sz="0" w:space="0" w:color="auto"/>
          </w:divBdr>
          <w:divsChild>
            <w:div w:id="1190413365">
              <w:marLeft w:val="0"/>
              <w:marRight w:val="0"/>
              <w:marTop w:val="0"/>
              <w:marBottom w:val="0"/>
              <w:divBdr>
                <w:top w:val="none" w:sz="0" w:space="0" w:color="auto"/>
                <w:left w:val="none" w:sz="0" w:space="0" w:color="auto"/>
                <w:bottom w:val="none" w:sz="0" w:space="0" w:color="auto"/>
                <w:right w:val="none" w:sz="0" w:space="0" w:color="auto"/>
              </w:divBdr>
              <w:divsChild>
                <w:div w:id="1447042979">
                  <w:marLeft w:val="0"/>
                  <w:marRight w:val="0"/>
                  <w:marTop w:val="0"/>
                  <w:marBottom w:val="0"/>
                  <w:divBdr>
                    <w:top w:val="none" w:sz="0" w:space="0" w:color="auto"/>
                    <w:left w:val="none" w:sz="0" w:space="0" w:color="auto"/>
                    <w:bottom w:val="none" w:sz="0" w:space="0" w:color="auto"/>
                    <w:right w:val="none" w:sz="0" w:space="0" w:color="auto"/>
                  </w:divBdr>
                </w:div>
                <w:div w:id="1268657475">
                  <w:marLeft w:val="0"/>
                  <w:marRight w:val="0"/>
                  <w:marTop w:val="0"/>
                  <w:marBottom w:val="0"/>
                  <w:divBdr>
                    <w:top w:val="none" w:sz="0" w:space="0" w:color="auto"/>
                    <w:left w:val="none" w:sz="0" w:space="0" w:color="auto"/>
                    <w:bottom w:val="none" w:sz="0" w:space="0" w:color="auto"/>
                    <w:right w:val="none" w:sz="0" w:space="0" w:color="auto"/>
                  </w:divBdr>
                </w:div>
                <w:div w:id="99837239">
                  <w:marLeft w:val="0"/>
                  <w:marRight w:val="0"/>
                  <w:marTop w:val="0"/>
                  <w:marBottom w:val="0"/>
                  <w:divBdr>
                    <w:top w:val="none" w:sz="0" w:space="0" w:color="auto"/>
                    <w:left w:val="none" w:sz="0" w:space="0" w:color="auto"/>
                    <w:bottom w:val="none" w:sz="0" w:space="0" w:color="auto"/>
                    <w:right w:val="none" w:sz="0" w:space="0" w:color="auto"/>
                  </w:divBdr>
                </w:div>
                <w:div w:id="5011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39184">
          <w:marLeft w:val="0"/>
          <w:marRight w:val="0"/>
          <w:marTop w:val="0"/>
          <w:marBottom w:val="240"/>
          <w:divBdr>
            <w:top w:val="none" w:sz="0" w:space="0" w:color="auto"/>
            <w:left w:val="none" w:sz="0" w:space="0" w:color="auto"/>
            <w:bottom w:val="none" w:sz="0" w:space="0" w:color="auto"/>
            <w:right w:val="none" w:sz="0" w:space="0" w:color="auto"/>
          </w:divBdr>
          <w:divsChild>
            <w:div w:id="1328823191">
              <w:marLeft w:val="0"/>
              <w:marRight w:val="0"/>
              <w:marTop w:val="0"/>
              <w:marBottom w:val="0"/>
              <w:divBdr>
                <w:top w:val="none" w:sz="0" w:space="0" w:color="auto"/>
                <w:left w:val="none" w:sz="0" w:space="0" w:color="auto"/>
                <w:bottom w:val="none" w:sz="0" w:space="0" w:color="auto"/>
                <w:right w:val="none" w:sz="0" w:space="0" w:color="auto"/>
              </w:divBdr>
              <w:divsChild>
                <w:div w:id="247035008">
                  <w:marLeft w:val="0"/>
                  <w:marRight w:val="0"/>
                  <w:marTop w:val="0"/>
                  <w:marBottom w:val="0"/>
                  <w:divBdr>
                    <w:top w:val="none" w:sz="0" w:space="0" w:color="auto"/>
                    <w:left w:val="none" w:sz="0" w:space="0" w:color="auto"/>
                    <w:bottom w:val="none" w:sz="0" w:space="0" w:color="auto"/>
                    <w:right w:val="none" w:sz="0" w:space="0" w:color="auto"/>
                  </w:divBdr>
                </w:div>
                <w:div w:id="19676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70185">
          <w:marLeft w:val="0"/>
          <w:marRight w:val="0"/>
          <w:marTop w:val="0"/>
          <w:marBottom w:val="240"/>
          <w:divBdr>
            <w:top w:val="none" w:sz="0" w:space="0" w:color="auto"/>
            <w:left w:val="none" w:sz="0" w:space="0" w:color="auto"/>
            <w:bottom w:val="none" w:sz="0" w:space="0" w:color="auto"/>
            <w:right w:val="none" w:sz="0" w:space="0" w:color="auto"/>
          </w:divBdr>
          <w:divsChild>
            <w:div w:id="885800696">
              <w:marLeft w:val="0"/>
              <w:marRight w:val="0"/>
              <w:marTop w:val="0"/>
              <w:marBottom w:val="0"/>
              <w:divBdr>
                <w:top w:val="none" w:sz="0" w:space="0" w:color="auto"/>
                <w:left w:val="none" w:sz="0" w:space="0" w:color="auto"/>
                <w:bottom w:val="none" w:sz="0" w:space="0" w:color="auto"/>
                <w:right w:val="none" w:sz="0" w:space="0" w:color="auto"/>
              </w:divBdr>
              <w:divsChild>
                <w:div w:id="1769498658">
                  <w:marLeft w:val="0"/>
                  <w:marRight w:val="0"/>
                  <w:marTop w:val="0"/>
                  <w:marBottom w:val="0"/>
                  <w:divBdr>
                    <w:top w:val="none" w:sz="0" w:space="0" w:color="auto"/>
                    <w:left w:val="none" w:sz="0" w:space="0" w:color="auto"/>
                    <w:bottom w:val="none" w:sz="0" w:space="0" w:color="auto"/>
                    <w:right w:val="none" w:sz="0" w:space="0" w:color="auto"/>
                  </w:divBdr>
                </w:div>
                <w:div w:id="2455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757">
          <w:marLeft w:val="0"/>
          <w:marRight w:val="0"/>
          <w:marTop w:val="0"/>
          <w:marBottom w:val="240"/>
          <w:divBdr>
            <w:top w:val="none" w:sz="0" w:space="0" w:color="auto"/>
            <w:left w:val="none" w:sz="0" w:space="0" w:color="auto"/>
            <w:bottom w:val="none" w:sz="0" w:space="0" w:color="auto"/>
            <w:right w:val="none" w:sz="0" w:space="0" w:color="auto"/>
          </w:divBdr>
          <w:divsChild>
            <w:div w:id="1729300447">
              <w:marLeft w:val="0"/>
              <w:marRight w:val="0"/>
              <w:marTop w:val="0"/>
              <w:marBottom w:val="0"/>
              <w:divBdr>
                <w:top w:val="none" w:sz="0" w:space="0" w:color="auto"/>
                <w:left w:val="none" w:sz="0" w:space="0" w:color="auto"/>
                <w:bottom w:val="none" w:sz="0" w:space="0" w:color="auto"/>
                <w:right w:val="none" w:sz="0" w:space="0" w:color="auto"/>
              </w:divBdr>
              <w:divsChild>
                <w:div w:id="815993702">
                  <w:marLeft w:val="0"/>
                  <w:marRight w:val="0"/>
                  <w:marTop w:val="0"/>
                  <w:marBottom w:val="0"/>
                  <w:divBdr>
                    <w:top w:val="none" w:sz="0" w:space="0" w:color="auto"/>
                    <w:left w:val="none" w:sz="0" w:space="0" w:color="auto"/>
                    <w:bottom w:val="none" w:sz="0" w:space="0" w:color="auto"/>
                    <w:right w:val="none" w:sz="0" w:space="0" w:color="auto"/>
                  </w:divBdr>
                </w:div>
                <w:div w:id="81028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2075">
          <w:marLeft w:val="0"/>
          <w:marRight w:val="0"/>
          <w:marTop w:val="0"/>
          <w:marBottom w:val="240"/>
          <w:divBdr>
            <w:top w:val="none" w:sz="0" w:space="0" w:color="auto"/>
            <w:left w:val="none" w:sz="0" w:space="0" w:color="auto"/>
            <w:bottom w:val="none" w:sz="0" w:space="0" w:color="auto"/>
            <w:right w:val="none" w:sz="0" w:space="0" w:color="auto"/>
          </w:divBdr>
          <w:divsChild>
            <w:div w:id="1990207034">
              <w:marLeft w:val="0"/>
              <w:marRight w:val="0"/>
              <w:marTop w:val="0"/>
              <w:marBottom w:val="0"/>
              <w:divBdr>
                <w:top w:val="none" w:sz="0" w:space="0" w:color="auto"/>
                <w:left w:val="none" w:sz="0" w:space="0" w:color="auto"/>
                <w:bottom w:val="none" w:sz="0" w:space="0" w:color="auto"/>
                <w:right w:val="none" w:sz="0" w:space="0" w:color="auto"/>
              </w:divBdr>
              <w:divsChild>
                <w:div w:id="2001346393">
                  <w:marLeft w:val="0"/>
                  <w:marRight w:val="0"/>
                  <w:marTop w:val="0"/>
                  <w:marBottom w:val="0"/>
                  <w:divBdr>
                    <w:top w:val="none" w:sz="0" w:space="0" w:color="auto"/>
                    <w:left w:val="none" w:sz="0" w:space="0" w:color="auto"/>
                    <w:bottom w:val="none" w:sz="0" w:space="0" w:color="auto"/>
                    <w:right w:val="none" w:sz="0" w:space="0" w:color="auto"/>
                  </w:divBdr>
                </w:div>
                <w:div w:id="1003751160">
                  <w:marLeft w:val="0"/>
                  <w:marRight w:val="0"/>
                  <w:marTop w:val="0"/>
                  <w:marBottom w:val="0"/>
                  <w:divBdr>
                    <w:top w:val="none" w:sz="0" w:space="0" w:color="auto"/>
                    <w:left w:val="none" w:sz="0" w:space="0" w:color="auto"/>
                    <w:bottom w:val="none" w:sz="0" w:space="0" w:color="auto"/>
                    <w:right w:val="none" w:sz="0" w:space="0" w:color="auto"/>
                  </w:divBdr>
                </w:div>
                <w:div w:id="1513884094">
                  <w:marLeft w:val="0"/>
                  <w:marRight w:val="0"/>
                  <w:marTop w:val="0"/>
                  <w:marBottom w:val="0"/>
                  <w:divBdr>
                    <w:top w:val="none" w:sz="0" w:space="0" w:color="auto"/>
                    <w:left w:val="none" w:sz="0" w:space="0" w:color="auto"/>
                    <w:bottom w:val="none" w:sz="0" w:space="0" w:color="auto"/>
                    <w:right w:val="none" w:sz="0" w:space="0" w:color="auto"/>
                  </w:divBdr>
                </w:div>
                <w:div w:id="9830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6678">
          <w:marLeft w:val="0"/>
          <w:marRight w:val="0"/>
          <w:marTop w:val="0"/>
          <w:marBottom w:val="0"/>
          <w:divBdr>
            <w:top w:val="none" w:sz="0" w:space="0" w:color="auto"/>
            <w:left w:val="none" w:sz="0" w:space="0" w:color="auto"/>
            <w:bottom w:val="none" w:sz="0" w:space="0" w:color="auto"/>
            <w:right w:val="none" w:sz="0" w:space="0" w:color="auto"/>
          </w:divBdr>
          <w:divsChild>
            <w:div w:id="15800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Jamison</dc:creator>
  <cp:keywords/>
  <dc:description/>
  <cp:lastModifiedBy>Charlyn Sarkis</cp:lastModifiedBy>
  <cp:revision>3</cp:revision>
  <cp:lastPrinted>2024-01-17T00:19:00Z</cp:lastPrinted>
  <dcterms:created xsi:type="dcterms:W3CDTF">2025-11-07T19:53:00Z</dcterms:created>
  <dcterms:modified xsi:type="dcterms:W3CDTF">2025-11-10T17:40:00Z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06741eb834980f7e32b865500ac1c2dd093f4f12ef51a1e4c03ae25d0ffa0951</vt:lpwstr>
  </property>
</Properties>
</file>