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955C" w14:textId="77777777" w:rsidR="00DA1487" w:rsidRPr="006C7AF7" w:rsidRDefault="00DA1487" w:rsidP="00DA1487">
      <w:pPr>
        <w:pStyle w:val="Title"/>
        <w:rPr>
          <w:sz w:val="40"/>
          <w:szCs w:val="40"/>
        </w:rPr>
      </w:pPr>
      <w:r w:rsidRPr="006C7AF7">
        <w:rPr>
          <w:sz w:val="40"/>
          <w:szCs w:val="40"/>
        </w:rPr>
        <w:t>AMADOR CALAVERAS CONSENSUS GROUP (ACCG)</w:t>
      </w:r>
    </w:p>
    <w:p w14:paraId="13B9C6BD" w14:textId="49525E61" w:rsidR="00DA1487" w:rsidRPr="00D82350" w:rsidRDefault="00DA1487" w:rsidP="00DA1487">
      <w:pPr>
        <w:pStyle w:val="Title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>
        <w:rPr>
          <w:rStyle w:val="Strong"/>
          <w:rFonts w:asciiTheme="minorHAnsi" w:hAnsiTheme="minorHAnsi"/>
          <w:color w:val="385623" w:themeColor="accent6" w:themeShade="80"/>
          <w:sz w:val="40"/>
          <w:szCs w:val="40"/>
        </w:rPr>
        <w:t>Administration Funding</w:t>
      </w:r>
      <w:r w:rsidRPr="007222BE">
        <w:rPr>
          <w:rStyle w:val="Strong"/>
          <w:rFonts w:asciiTheme="minorHAnsi" w:hAnsiTheme="minorHAnsi"/>
          <w:color w:val="385623" w:themeColor="accent6" w:themeShade="80"/>
          <w:sz w:val="40"/>
          <w:szCs w:val="40"/>
        </w:rPr>
        <w:t xml:space="preserve"> Plan</w:t>
      </w:r>
    </w:p>
    <w:p w14:paraId="5909EBBE" w14:textId="018CA406" w:rsidR="00DA1487" w:rsidRDefault="00DA1487" w:rsidP="00DA1487">
      <w:pPr>
        <w:rPr>
          <w:i/>
          <w:sz w:val="24"/>
        </w:rPr>
      </w:pPr>
      <w:r>
        <w:rPr>
          <w:i/>
          <w:sz w:val="24"/>
        </w:rPr>
        <w:t>Version: November 2025</w:t>
      </w:r>
    </w:p>
    <w:p w14:paraId="6CA5C2DE" w14:textId="74ECC4B3" w:rsidR="00DA1487" w:rsidRDefault="00DA1487" w:rsidP="00DA1487">
      <w:pPr>
        <w:rPr>
          <w:sz w:val="24"/>
        </w:rPr>
      </w:pPr>
      <w:r w:rsidRPr="00D82350">
        <w:rPr>
          <w:sz w:val="24"/>
        </w:rPr>
        <w:t xml:space="preserve">Developed by </w:t>
      </w:r>
      <w:r>
        <w:rPr>
          <w:sz w:val="24"/>
        </w:rPr>
        <w:t>the ACCG Admin</w:t>
      </w:r>
      <w:r w:rsidR="00A46C3A">
        <w:rPr>
          <w:sz w:val="24"/>
        </w:rPr>
        <w:t>istration</w:t>
      </w:r>
      <w:r>
        <w:rPr>
          <w:sz w:val="24"/>
        </w:rPr>
        <w:t xml:space="preserve"> Work Group</w:t>
      </w:r>
    </w:p>
    <w:p w14:paraId="2E31BF9A" w14:textId="77777777" w:rsidR="00DA1487" w:rsidRDefault="00DA1487" w:rsidP="00DA1487">
      <w:pPr>
        <w:rPr>
          <w:sz w:val="24"/>
        </w:rPr>
      </w:pPr>
    </w:p>
    <w:bookmarkStart w:id="0" w:name="_Appendix_B:_ACCG" w:displacedByCustomXml="next"/>
    <w:bookmarkEnd w:id="0" w:displacedByCustomXml="next"/>
    <w:sdt>
      <w:sdtPr>
        <w:rPr>
          <w:rFonts w:cs="Times New Roman"/>
          <w:b w:val="0"/>
          <w:bCs w:val="0"/>
          <w:caps w:val="0"/>
          <w:color w:val="000000"/>
          <w:sz w:val="22"/>
          <w:szCs w:val="24"/>
          <w14:textFill>
            <w14:solidFill>
              <w14:srgbClr w14:val="000000">
                <w14:lumMod w14:val="50000"/>
              </w14:srgbClr>
            </w14:solidFill>
          </w14:textFill>
        </w:rPr>
        <w:id w:val="1687864117"/>
        <w:docPartObj>
          <w:docPartGallery w:val="Table of Contents"/>
          <w:docPartUnique/>
        </w:docPartObj>
      </w:sdtPr>
      <w:sdtEndPr>
        <w:rPr>
          <w:noProof/>
          <w:color w:val="385623" w:themeColor="accent6" w:themeShade="80"/>
        </w:rPr>
      </w:sdtEndPr>
      <w:sdtContent>
        <w:p w14:paraId="459041A6" w14:textId="77777777" w:rsidR="00DA1487" w:rsidRPr="00BA2860" w:rsidRDefault="00DA1487" w:rsidP="00DA1487">
          <w:pPr>
            <w:pStyle w:val="TOC1"/>
          </w:pPr>
          <w:r w:rsidRPr="00BA2860">
            <w:t>Contents</w:t>
          </w:r>
        </w:p>
        <w:p w14:paraId="5491F303" w14:textId="1B921317" w:rsidR="00D9797A" w:rsidRDefault="00DA1487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A8239B">
            <w:rPr>
              <w:color w:val="385623" w:themeColor="accent6" w:themeShade="80"/>
            </w:rPr>
            <w:fldChar w:fldCharType="begin"/>
          </w:r>
          <w:r w:rsidRPr="00A8239B">
            <w:rPr>
              <w:color w:val="385623" w:themeColor="accent6" w:themeShade="80"/>
            </w:rPr>
            <w:instrText xml:space="preserve"> TOC \o "1-1" \h \z \u </w:instrText>
          </w:r>
          <w:r w:rsidRPr="00A8239B">
            <w:rPr>
              <w:color w:val="385623" w:themeColor="accent6" w:themeShade="80"/>
            </w:rPr>
            <w:fldChar w:fldCharType="separate"/>
          </w:r>
          <w:hyperlink w:anchor="_Toc213933001" w:history="1">
            <w:r w:rsidR="00D9797A" w:rsidRPr="004F2A7D">
              <w:rPr>
                <w:rStyle w:val="Hyperlink"/>
                <w:noProof/>
              </w:rPr>
              <w:t>I.</w:t>
            </w:r>
            <w:r w:rsidR="00D9797A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D9797A" w:rsidRPr="004F2A7D">
              <w:rPr>
                <w:rStyle w:val="Hyperlink"/>
                <w:noProof/>
              </w:rPr>
              <w:t>Purpose and Need for Plan</w:t>
            </w:r>
            <w:r w:rsidR="00D9797A">
              <w:rPr>
                <w:noProof/>
                <w:webHidden/>
              </w:rPr>
              <w:tab/>
            </w:r>
            <w:r w:rsidR="00D9797A">
              <w:rPr>
                <w:noProof/>
                <w:webHidden/>
              </w:rPr>
              <w:fldChar w:fldCharType="begin"/>
            </w:r>
            <w:r w:rsidR="00D9797A">
              <w:rPr>
                <w:noProof/>
                <w:webHidden/>
              </w:rPr>
              <w:instrText xml:space="preserve"> PAGEREF _Toc213933001 \h </w:instrText>
            </w:r>
            <w:r w:rsidR="00D9797A">
              <w:rPr>
                <w:noProof/>
                <w:webHidden/>
              </w:rPr>
            </w:r>
            <w:r w:rsidR="00D9797A">
              <w:rPr>
                <w:noProof/>
                <w:webHidden/>
              </w:rPr>
              <w:fldChar w:fldCharType="separate"/>
            </w:r>
            <w:r w:rsidR="00D9797A">
              <w:rPr>
                <w:noProof/>
                <w:webHidden/>
              </w:rPr>
              <w:t>2</w:t>
            </w:r>
            <w:r w:rsidR="00D9797A">
              <w:rPr>
                <w:noProof/>
                <w:webHidden/>
              </w:rPr>
              <w:fldChar w:fldCharType="end"/>
            </w:r>
          </w:hyperlink>
        </w:p>
        <w:p w14:paraId="7E24B006" w14:textId="0467A934" w:rsidR="00D9797A" w:rsidRDefault="00D9797A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933002" w:history="1">
            <w:r w:rsidRPr="004F2A7D">
              <w:rPr>
                <w:rStyle w:val="Hyperlink"/>
                <w:noProof/>
              </w:rPr>
              <w:t>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2A7D">
              <w:rPr>
                <w:rStyle w:val="Hyperlink"/>
                <w:noProof/>
              </w:rPr>
              <w:t>Past Funding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_Toc213933002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1D2A2" w14:textId="11CDCEC9" w:rsidR="00D9797A" w:rsidRDefault="00D9797A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933003" w:history="1">
            <w:r w:rsidRPr="004F2A7D">
              <w:rPr>
                <w:rStyle w:val="Hyperlink"/>
                <w:noProof/>
              </w:rPr>
              <w:t>III.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2A7D">
              <w:rPr>
                <w:rStyle w:val="Hyperlink"/>
                <w:noProof/>
              </w:rPr>
              <w:t>Proposed Funding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_Toc213933003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A85D0" w14:textId="765DF593" w:rsidR="00D9797A" w:rsidRDefault="00D9797A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933004" w:history="1">
            <w:r w:rsidRPr="004F2A7D">
              <w:rPr>
                <w:rStyle w:val="Hyperlink"/>
                <w:noProof/>
              </w:rPr>
              <w:t>IV.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2A7D">
              <w:rPr>
                <w:rStyle w:val="Hyperlink"/>
                <w:noProof/>
              </w:rPr>
              <w:t>Proposed (and expanded) Administration Scope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_Toc213933004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C6B28" w14:textId="43FDE380" w:rsidR="00D9797A" w:rsidRDefault="00D9797A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933005" w:history="1">
            <w:r w:rsidRPr="004F2A7D">
              <w:rPr>
                <w:rStyle w:val="Hyperlink"/>
                <w:noProof/>
              </w:rPr>
              <w:t>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F2A7D">
              <w:rPr>
                <w:rStyle w:val="Hyperlink"/>
                <w:noProof/>
              </w:rPr>
              <w:t>Opportunities for Increased Administration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_Toc213933005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7BB44" w14:textId="69450278" w:rsidR="00D9797A" w:rsidRDefault="00D9797A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933006" w:history="1">
            <w:r w:rsidRPr="004F2A7D">
              <w:rPr>
                <w:rStyle w:val="Hyperlink"/>
                <w:noProof/>
              </w:rPr>
              <w:t>Appendix A: Current &amp; Projected ACCG Administration Funding Contributions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_Toc213933006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AD7AD" w14:textId="0CB80276" w:rsidR="00DA1487" w:rsidRPr="00D4188C" w:rsidRDefault="00DA1487" w:rsidP="00DA1487">
          <w:pPr>
            <w:rPr>
              <w:noProof/>
              <w:color w:val="385623" w:themeColor="accent6" w:themeShade="80"/>
            </w:rPr>
          </w:pPr>
          <w:r w:rsidRPr="00A8239B">
            <w:rPr>
              <w:rFonts w:cstheme="minorHAnsi"/>
              <w:caps/>
              <w:color w:val="385623" w:themeColor="accent6" w:themeShade="80"/>
              <w:sz w:val="20"/>
              <w:szCs w:val="20"/>
            </w:rPr>
            <w:fldChar w:fldCharType="end"/>
          </w:r>
        </w:p>
      </w:sdtContent>
    </w:sdt>
    <w:p w14:paraId="5A80C6DC" w14:textId="77777777" w:rsidR="00DA1487" w:rsidRPr="000A7DB2" w:rsidRDefault="00DA1487" w:rsidP="00DA1487">
      <w:pPr>
        <w:rPr>
          <w:noProof/>
          <w:color w:val="385623" w:themeColor="accent6" w:themeShade="80"/>
        </w:rPr>
      </w:pPr>
      <w:r w:rsidRPr="000A7DB2">
        <w:rPr>
          <w:noProof/>
          <w:color w:val="385623" w:themeColor="accent6" w:themeShade="80"/>
        </w:rPr>
        <w:br w:type="page"/>
      </w:r>
    </w:p>
    <w:p w14:paraId="1959DCE9" w14:textId="1C644176" w:rsidR="00DA1487" w:rsidRDefault="00DA1487" w:rsidP="00F04530">
      <w:pPr>
        <w:pStyle w:val="Heading1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bookmarkStart w:id="1" w:name="_Appendix_D:_2020-2021"/>
      <w:bookmarkStart w:id="2" w:name="__Appendix_D:_2020-2021"/>
      <w:bookmarkStart w:id="3" w:name="__Appendix_B:_ACCG"/>
      <w:bookmarkStart w:id="4" w:name="_Toc213933001"/>
      <w:bookmarkEnd w:id="1"/>
      <w:bookmarkEnd w:id="2"/>
      <w:bookmarkEnd w:id="3"/>
      <w:r w:rsidRPr="00F04530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lastRenderedPageBreak/>
        <w:t xml:space="preserve">Purpose and </w:t>
      </w:r>
      <w:r w:rsidR="00A263B2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Need for Plan</w:t>
      </w:r>
      <w:bookmarkEnd w:id="4"/>
    </w:p>
    <w:p w14:paraId="775A52B2" w14:textId="77777777" w:rsidR="0002428B" w:rsidRDefault="0002428B" w:rsidP="00D4188C"/>
    <w:p w14:paraId="6F4BEC1E" w14:textId="66DD7979" w:rsidR="0002428B" w:rsidRDefault="00731493" w:rsidP="0002428B">
      <w:pPr>
        <w:keepNext/>
        <w:keepLines/>
      </w:pPr>
      <w:r>
        <w:t xml:space="preserve">The </w:t>
      </w:r>
      <w:r w:rsidRPr="00FF5DC7">
        <w:t xml:space="preserve">Amador-Calaveras Consensus Group </w:t>
      </w:r>
      <w:r>
        <w:t>(</w:t>
      </w:r>
      <w:r w:rsidR="0002428B">
        <w:t>ACCG</w:t>
      </w:r>
      <w:r>
        <w:t>)</w:t>
      </w:r>
      <w:r w:rsidR="0002428B" w:rsidRPr="00FF5DC7">
        <w:t xml:space="preserve"> is a collaboration </w:t>
      </w:r>
      <w:r w:rsidR="0002428B">
        <w:t>of</w:t>
      </w:r>
      <w:r w:rsidR="0002428B" w:rsidRPr="00FF5DC7">
        <w:t xml:space="preserve"> diverse stakeholders formed in 2008 to promote fire</w:t>
      </w:r>
      <w:r w:rsidR="0002428B">
        <w:t>-</w:t>
      </w:r>
      <w:r w:rsidR="0002428B" w:rsidRPr="00FF5DC7">
        <w:t xml:space="preserve">safe communities, healthy forests and watersheds, and sustainable local economies in Amador and Calaveras </w:t>
      </w:r>
      <w:r w:rsidR="0002428B">
        <w:t>c</w:t>
      </w:r>
      <w:r w:rsidR="0002428B" w:rsidRPr="00FF5DC7">
        <w:t xml:space="preserve">ounties. ACCG members include individuals, nonprofit organizations, businesses, tribal interests, and local, state, and federal government entities. </w:t>
      </w:r>
      <w:r w:rsidR="0002428B">
        <w:t>T</w:t>
      </w:r>
      <w:r w:rsidR="0002428B" w:rsidRPr="00FF5DC7">
        <w:t>he ACCG serves as an information sharing and networking forum for members and others who are committed to an all-lands, landscape approach in pursuit of the group's triple bottom line mission.</w:t>
      </w:r>
    </w:p>
    <w:p w14:paraId="6472D52C" w14:textId="77777777" w:rsidR="0002428B" w:rsidRDefault="0002428B" w:rsidP="00D4188C"/>
    <w:p w14:paraId="03FFFB80" w14:textId="5F93EFA9" w:rsidR="004D39AD" w:rsidRDefault="00E6746C" w:rsidP="00D4188C">
      <w:r>
        <w:t xml:space="preserve">ACCG administration </w:t>
      </w:r>
      <w:r w:rsidR="008068BD">
        <w:t>is a</w:t>
      </w:r>
      <w:r w:rsidR="00D66C51">
        <w:t xml:space="preserve"> critical </w:t>
      </w:r>
      <w:r w:rsidR="008068BD">
        <w:t xml:space="preserve">component </w:t>
      </w:r>
      <w:r w:rsidR="00731493">
        <w:t>in achieving the collaborative’s mission</w:t>
      </w:r>
      <w:r w:rsidR="00D2614D">
        <w:t xml:space="preserve">, and as the current source of funding will sunset in 2026, the collaborative </w:t>
      </w:r>
      <w:r w:rsidR="00731493">
        <w:t>has identified the need to develop a long-term strategy for funding administration of the collaborative</w:t>
      </w:r>
      <w:r w:rsidR="00D2614D">
        <w:t xml:space="preserve">. ACCG administration </w:t>
      </w:r>
      <w:r w:rsidR="0042327A">
        <w:t xml:space="preserve">has </w:t>
      </w:r>
      <w:r w:rsidR="003B680B">
        <w:t>ensured</w:t>
      </w:r>
      <w:r w:rsidR="00D66C51">
        <w:t xml:space="preserve"> </w:t>
      </w:r>
      <w:r w:rsidR="007E5BE7">
        <w:t>continued functioning</w:t>
      </w:r>
      <w:r w:rsidR="00AA7FCA">
        <w:t xml:space="preserve"> of the </w:t>
      </w:r>
      <w:r w:rsidR="00C02EB0">
        <w:t>collaborative</w:t>
      </w:r>
      <w:r w:rsidR="00D37BCE">
        <w:t>’</w:t>
      </w:r>
      <w:r w:rsidR="00C02EB0">
        <w:t xml:space="preserve">s monthly general meetings, work groups, website, and </w:t>
      </w:r>
      <w:r w:rsidR="007E5BE7">
        <w:t xml:space="preserve">communication and </w:t>
      </w:r>
      <w:r w:rsidR="008C7AB9">
        <w:t>outreach</w:t>
      </w:r>
      <w:r w:rsidR="007E5BE7">
        <w:t>-related</w:t>
      </w:r>
      <w:r w:rsidR="00514C33">
        <w:t xml:space="preserve"> activities</w:t>
      </w:r>
      <w:r w:rsidR="005A6A93">
        <w:t>.</w:t>
      </w:r>
      <w:r w:rsidR="00AA7FCA">
        <w:t xml:space="preserve"> </w:t>
      </w:r>
      <w:r w:rsidR="006E5C4E">
        <w:t xml:space="preserve">The collaborative </w:t>
      </w:r>
      <w:r w:rsidR="005C7D81">
        <w:t>recognizes</w:t>
      </w:r>
      <w:r w:rsidR="006E5C4E">
        <w:t xml:space="preserve"> the need to </w:t>
      </w:r>
      <w:r w:rsidR="005C7D81">
        <w:t>identify</w:t>
      </w:r>
      <w:r w:rsidR="006E5C4E">
        <w:t xml:space="preserve"> </w:t>
      </w:r>
      <w:r w:rsidR="00243173">
        <w:t xml:space="preserve">a more </w:t>
      </w:r>
      <w:r w:rsidR="008F5FBA">
        <w:t xml:space="preserve">fixed </w:t>
      </w:r>
      <w:r w:rsidR="00243173">
        <w:t>funding approach</w:t>
      </w:r>
      <w:r w:rsidR="008F5FBA">
        <w:t xml:space="preserve"> for this critical</w:t>
      </w:r>
      <w:r w:rsidR="00243173">
        <w:t xml:space="preserve"> work.</w:t>
      </w:r>
    </w:p>
    <w:p w14:paraId="1508290C" w14:textId="77777777" w:rsidR="004D39AD" w:rsidRDefault="004D39AD" w:rsidP="00D4188C"/>
    <w:p w14:paraId="4DD99B8C" w14:textId="3FC24664" w:rsidR="00C47FF7" w:rsidRPr="00C47FF7" w:rsidRDefault="004F5762" w:rsidP="00C47FF7">
      <w:r>
        <w:t xml:space="preserve">This </w:t>
      </w:r>
      <w:r w:rsidR="00BF5F3B">
        <w:t>document</w:t>
      </w:r>
      <w:r w:rsidR="00D4188C" w:rsidRPr="001E7959">
        <w:t xml:space="preserve"> identifies </w:t>
      </w:r>
      <w:r w:rsidR="00BD5D13">
        <w:t xml:space="preserve">the basic scope of </w:t>
      </w:r>
      <w:r w:rsidR="005A6A93">
        <w:t xml:space="preserve">administration </w:t>
      </w:r>
      <w:r w:rsidR="00BD5D13">
        <w:t xml:space="preserve">services necessary to </w:t>
      </w:r>
      <w:r w:rsidR="0013430F">
        <w:t xml:space="preserve">ensure the ACCG </w:t>
      </w:r>
      <w:r w:rsidR="005A6A93">
        <w:t>continues to functio</w:t>
      </w:r>
      <w:r w:rsidR="0044423A">
        <w:t xml:space="preserve">n, and also </w:t>
      </w:r>
      <w:r w:rsidR="00D13F49">
        <w:t xml:space="preserve">outlines </w:t>
      </w:r>
      <w:r w:rsidR="0044423A">
        <w:t>the proposed approach to funding these services</w:t>
      </w:r>
      <w:r w:rsidR="00D4188C" w:rsidRPr="001E7959">
        <w:t>.</w:t>
      </w:r>
      <w:r w:rsidR="00D4188C">
        <w:t xml:space="preserve"> </w:t>
      </w:r>
      <w:r w:rsidR="0044423A">
        <w:t>The plan also identifies additional administration services</w:t>
      </w:r>
      <w:r w:rsidR="00F426D1">
        <w:t xml:space="preserve">, that with additional funding, would be important to consider </w:t>
      </w:r>
      <w:r w:rsidR="00D13F49">
        <w:t>adding to the administration scope of services</w:t>
      </w:r>
      <w:r w:rsidR="00F426D1">
        <w:t xml:space="preserve">. </w:t>
      </w:r>
      <w:r w:rsidR="00D4188C">
        <w:t>This plan is meant to serve as a living document that will be updated</w:t>
      </w:r>
      <w:r w:rsidR="00FA7C10">
        <w:t xml:space="preserve"> as needed</w:t>
      </w:r>
      <w:r w:rsidR="008F0763">
        <w:t xml:space="preserve"> in response changed conditions such as </w:t>
      </w:r>
      <w:r w:rsidR="00E65986">
        <w:t>additional members opt</w:t>
      </w:r>
      <w:r w:rsidR="008F0763">
        <w:t>ing</w:t>
      </w:r>
      <w:r w:rsidR="00E65986">
        <w:t xml:space="preserve"> to contribute funding toward ACCG administration, or as administration scope of services </w:t>
      </w:r>
      <w:r w:rsidR="008F0763">
        <w:t xml:space="preserve">needs </w:t>
      </w:r>
      <w:r w:rsidR="00E65986">
        <w:t>change</w:t>
      </w:r>
      <w:r w:rsidR="00D4188C">
        <w:t xml:space="preserve">. </w:t>
      </w:r>
    </w:p>
    <w:p w14:paraId="3F564863" w14:textId="2281D901" w:rsidR="00481E24" w:rsidRDefault="00A263B2" w:rsidP="00481E24">
      <w:pPr>
        <w:pStyle w:val="Heading1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bookmarkStart w:id="5" w:name="_Toc213933002"/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Past Funding </w:t>
      </w:r>
      <w:r w:rsidR="001E591B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Models</w:t>
      </w:r>
      <w:bookmarkEnd w:id="5"/>
    </w:p>
    <w:p w14:paraId="1F482B69" w14:textId="77777777" w:rsidR="00C47FF7" w:rsidRDefault="00C47FF7" w:rsidP="00C47FF7"/>
    <w:p w14:paraId="1DB42963" w14:textId="39DB3349" w:rsidR="00C47FF7" w:rsidRPr="00C47FF7" w:rsidRDefault="00F32DE5" w:rsidP="00C47FF7">
      <w:r w:rsidRPr="00AD7327">
        <w:t>I</w:t>
      </w:r>
      <w:r w:rsidR="00313B0E" w:rsidRPr="00AD7327">
        <w:t>nitially ACCG administration was on a voluntary basis by members.  In 2010</w:t>
      </w:r>
      <w:r w:rsidR="009515DE" w:rsidRPr="00AD7327">
        <w:t>,</w:t>
      </w:r>
      <w:r w:rsidR="00313B0E" w:rsidRPr="00AD7327">
        <w:t xml:space="preserve"> SNC provided </w:t>
      </w:r>
      <w:r w:rsidR="009515DE" w:rsidRPr="00AD7327">
        <w:t>administration</w:t>
      </w:r>
      <w:r w:rsidR="00313B0E" w:rsidRPr="00AD7327">
        <w:t xml:space="preserve"> support and then </w:t>
      </w:r>
      <w:r w:rsidR="00AD7327" w:rsidRPr="00AD7327">
        <w:t>a</w:t>
      </w:r>
      <w:r w:rsidR="00313B0E" w:rsidRPr="00AD7327">
        <w:t xml:space="preserve"> National Forest Foundation grant funded contract administration support until 2012.  Since </w:t>
      </w:r>
      <w:r w:rsidR="00AD7327" w:rsidRPr="00AD7327">
        <w:t>then</w:t>
      </w:r>
      <w:r w:rsidR="009515DE" w:rsidRPr="00AD7327">
        <w:t>,</w:t>
      </w:r>
      <w:r w:rsidR="00313B0E" w:rsidRPr="00AD7327">
        <w:t xml:space="preserve"> </w:t>
      </w:r>
      <w:r w:rsidR="007715AB" w:rsidRPr="00AD7327">
        <w:t xml:space="preserve">ACCG administration services has been funded by either federal or state </w:t>
      </w:r>
      <w:r w:rsidR="007D5A56" w:rsidRPr="00AD7327">
        <w:t>programs</w:t>
      </w:r>
      <w:r w:rsidR="007715AB" w:rsidRPr="00AD7327">
        <w:t>, including the</w:t>
      </w:r>
      <w:r w:rsidR="007715AB">
        <w:t xml:space="preserve"> </w:t>
      </w:r>
      <w:r w:rsidR="00F34D19">
        <w:t xml:space="preserve">USDA FS </w:t>
      </w:r>
      <w:r w:rsidR="00F34D19" w:rsidRPr="00F34D19">
        <w:t>Collaborative Forest Landscape Restoration Program</w:t>
      </w:r>
      <w:r w:rsidR="00F34D19">
        <w:t xml:space="preserve"> (CFLRP) </w:t>
      </w:r>
      <w:r w:rsidR="007715AB">
        <w:t xml:space="preserve">and more recently </w:t>
      </w:r>
      <w:r w:rsidR="00F34D19">
        <w:t xml:space="preserve">through the </w:t>
      </w:r>
      <w:r w:rsidR="00A62CFA">
        <w:t>CA Dept. of Conservation and S</w:t>
      </w:r>
      <w:r w:rsidR="00F34D19">
        <w:t xml:space="preserve">ierra Nevada </w:t>
      </w:r>
      <w:r w:rsidR="00A07C36">
        <w:t>Conservancy’s</w:t>
      </w:r>
      <w:r w:rsidR="00F34D19">
        <w:t xml:space="preserve"> (SNC) </w:t>
      </w:r>
      <w:r w:rsidR="00A07C36" w:rsidRPr="00A07C36">
        <w:t>Regional Forest and Fire Capacity Program</w:t>
      </w:r>
      <w:r w:rsidR="00A07C36">
        <w:t xml:space="preserve"> (RFFCP)</w:t>
      </w:r>
      <w:r w:rsidR="00A62CFA">
        <w:t>.</w:t>
      </w:r>
      <w:r w:rsidR="00900B63">
        <w:t xml:space="preserve"> As mentioned in the opening section, the current grant funding thorough the RFFCP is set to sunset in 2026</w:t>
      </w:r>
      <w:r w:rsidR="007D5A56">
        <w:t xml:space="preserve">, and hence the need for a proposed funding approach </w:t>
      </w:r>
      <w:r w:rsidR="00C312A1">
        <w:t>moving forward.</w:t>
      </w:r>
    </w:p>
    <w:p w14:paraId="38065565" w14:textId="1C9F8ED9" w:rsidR="00481E24" w:rsidRDefault="00A263B2" w:rsidP="00481E24">
      <w:pPr>
        <w:pStyle w:val="Heading1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bookmarkStart w:id="6" w:name="_Toc213933003"/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Proposed Funding Approach</w:t>
      </w:r>
      <w:bookmarkEnd w:id="6"/>
    </w:p>
    <w:p w14:paraId="574EAB09" w14:textId="77777777" w:rsidR="00C47FF7" w:rsidRDefault="00C47FF7" w:rsidP="00C47FF7"/>
    <w:p w14:paraId="22B2A1AA" w14:textId="39D9AB27" w:rsidR="00672709" w:rsidRDefault="00854880" w:rsidP="00C47FF7">
      <w:r>
        <w:t>Individual ACCG member (MOA signatories) contributions will be</w:t>
      </w:r>
      <w:r w:rsidR="00CA0486">
        <w:t xml:space="preserve"> </w:t>
      </w:r>
      <w:r w:rsidR="003E3F02">
        <w:t>utilized</w:t>
      </w:r>
      <w:r w:rsidR="00CA0486">
        <w:t xml:space="preserve"> to maintain a</w:t>
      </w:r>
      <w:r w:rsidR="003E3F02">
        <w:t xml:space="preserve">n </w:t>
      </w:r>
      <w:r w:rsidR="000E3CD8">
        <w:t>Administrator(s)</w:t>
      </w:r>
      <w:r w:rsidR="003E3F02">
        <w:t xml:space="preserve"> to perform the most critical services</w:t>
      </w:r>
      <w:r w:rsidR="000C573D">
        <w:t xml:space="preserve"> for the collaborative</w:t>
      </w:r>
      <w:r w:rsidR="003E3F02">
        <w:t>.</w:t>
      </w:r>
      <w:r w:rsidR="00663880">
        <w:t xml:space="preserve"> </w:t>
      </w:r>
      <w:r w:rsidR="006A2DD5">
        <w:t xml:space="preserve">We anticipate this proposed funding approach will start in mid-late 2026. </w:t>
      </w:r>
      <w:r w:rsidR="000C573D">
        <w:t xml:space="preserve">These critical services </w:t>
      </w:r>
      <w:r w:rsidR="000E3CD8">
        <w:t>are</w:t>
      </w:r>
      <w:r w:rsidR="000C573D">
        <w:t xml:space="preserve"> detailed in the next section, Section IV. </w:t>
      </w:r>
      <w:r w:rsidR="00313B0E">
        <w:t xml:space="preserve">  Current </w:t>
      </w:r>
      <w:r w:rsidR="004C6A2C">
        <w:t xml:space="preserve">secured </w:t>
      </w:r>
      <w:r w:rsidR="00313B0E">
        <w:t>member contributions are shown in Appendix A</w:t>
      </w:r>
      <w:r w:rsidR="004C6A2C">
        <w:t xml:space="preserve"> and are sufficient for critical services</w:t>
      </w:r>
      <w:r w:rsidR="00313B0E">
        <w:t>.</w:t>
      </w:r>
    </w:p>
    <w:p w14:paraId="64DE8201" w14:textId="77777777" w:rsidR="00672709" w:rsidRDefault="00672709" w:rsidP="00C47FF7"/>
    <w:p w14:paraId="76266F4A" w14:textId="67970D64" w:rsidR="00856214" w:rsidRPr="00C47FF7" w:rsidRDefault="003A0F27" w:rsidP="00C47FF7">
      <w:r>
        <w:t xml:space="preserve">If additional </w:t>
      </w:r>
      <w:r w:rsidR="00C37713">
        <w:t xml:space="preserve">future grant funds become available, or if </w:t>
      </w:r>
      <w:r w:rsidR="004C6A2C">
        <w:t xml:space="preserve">additional </w:t>
      </w:r>
      <w:r>
        <w:t xml:space="preserve">ACCG members </w:t>
      </w:r>
      <w:r w:rsidR="0052329B">
        <w:t>choose</w:t>
      </w:r>
      <w:r>
        <w:t xml:space="preserve"> </w:t>
      </w:r>
      <w:r w:rsidR="0052329B">
        <w:t xml:space="preserve">to </w:t>
      </w:r>
      <w:r>
        <w:t xml:space="preserve">contribute funds towards ACCG administration services </w:t>
      </w:r>
      <w:r w:rsidR="0052329B">
        <w:t>in</w:t>
      </w:r>
      <w:r>
        <w:t xml:space="preserve"> the future, the</w:t>
      </w:r>
      <w:r w:rsidR="0052329B">
        <w:t xml:space="preserve">n the ACCG Administration Work Group will revisit the Administration </w:t>
      </w:r>
      <w:r w:rsidR="00856214">
        <w:t>scope of work</w:t>
      </w:r>
      <w:r w:rsidR="0052329B">
        <w:t xml:space="preserve"> </w:t>
      </w:r>
      <w:r w:rsidR="00672709">
        <w:t xml:space="preserve">and identify additional services the Administrator(s) </w:t>
      </w:r>
      <w:r w:rsidR="00617D8A">
        <w:t>would perform</w:t>
      </w:r>
      <w:r w:rsidR="00C37713">
        <w:t xml:space="preserve"> </w:t>
      </w:r>
      <w:r w:rsidR="003D164C">
        <w:t>(Table 1)</w:t>
      </w:r>
      <w:r w:rsidR="00617D8A">
        <w:t>.</w:t>
      </w:r>
    </w:p>
    <w:p w14:paraId="2E3FD52B" w14:textId="11351420" w:rsidR="00481E24" w:rsidRDefault="00B361E1" w:rsidP="00481E24">
      <w:pPr>
        <w:pStyle w:val="Heading1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bookmarkStart w:id="7" w:name="_Toc213933004"/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lastRenderedPageBreak/>
        <w:t xml:space="preserve">Proposed (and expanded) </w:t>
      </w:r>
      <w:r w:rsidR="00A263B2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Administration Scope of Work</w:t>
      </w:r>
      <w:bookmarkEnd w:id="7"/>
    </w:p>
    <w:p w14:paraId="5D81FC20" w14:textId="77777777" w:rsidR="00C37713" w:rsidRDefault="00C37713" w:rsidP="00C37713"/>
    <w:p w14:paraId="79F9327A" w14:textId="5E3D0C4C" w:rsidR="004C48CB" w:rsidRDefault="004C48CB" w:rsidP="00C37713">
      <w:r w:rsidRPr="00F92658">
        <w:t xml:space="preserve">Table 1 outlines the proposed </w:t>
      </w:r>
      <w:r w:rsidR="00F92658" w:rsidRPr="00F92658">
        <w:t>ACCG Administration annual scope of work with the secured</w:t>
      </w:r>
      <w:r w:rsidR="007C64CF">
        <w:t xml:space="preserve"> member contributions </w:t>
      </w:r>
      <w:r w:rsidR="004C6A2C">
        <w:t xml:space="preserve">for critical administration services </w:t>
      </w:r>
      <w:r w:rsidR="007C64CF">
        <w:t>and also details an Expanded scope of work</w:t>
      </w:r>
      <w:r w:rsidR="004C6A2C">
        <w:t xml:space="preserve"> if</w:t>
      </w:r>
      <w:r w:rsidR="001865CD">
        <w:t xml:space="preserve"> additional funding</w:t>
      </w:r>
      <w:r w:rsidR="004C6A2C">
        <w:t xml:space="preserve"> is available</w:t>
      </w:r>
      <w:r w:rsidR="001865CD">
        <w:t xml:space="preserve">. As noted in the previous section, if additional administration funding becomes available, </w:t>
      </w:r>
      <w:r w:rsidR="001865CD" w:rsidRPr="004C48CB">
        <w:t>the ACCG Administration Work Group will revisit the Administration scope of work and identify additional services the Administrator(s) would perform</w:t>
      </w:r>
      <w:r w:rsidR="001865CD">
        <w:t xml:space="preserve"> under the Expanded SOW.</w:t>
      </w:r>
    </w:p>
    <w:p w14:paraId="2405CFC8" w14:textId="77777777" w:rsidR="004C48CB" w:rsidRDefault="004C48CB" w:rsidP="00C37713">
      <w:pPr>
        <w:rPr>
          <w:b/>
          <w:bCs/>
        </w:rPr>
      </w:pPr>
    </w:p>
    <w:p w14:paraId="79D4DDB6" w14:textId="6EC353F6" w:rsidR="00C37713" w:rsidRPr="00C37713" w:rsidRDefault="00C37713" w:rsidP="00C37713">
      <w:r w:rsidRPr="003D164C">
        <w:rPr>
          <w:b/>
          <w:bCs/>
        </w:rPr>
        <w:t>Table 1</w:t>
      </w:r>
      <w:r>
        <w:t xml:space="preserve">: </w:t>
      </w:r>
      <w:r w:rsidR="00E84280">
        <w:t>The p</w:t>
      </w:r>
      <w:r w:rsidR="003D164C">
        <w:t>roposed ACCG Administration annual scope of work</w:t>
      </w:r>
      <w:r w:rsidR="00E84280">
        <w:t xml:space="preserve"> to be </w:t>
      </w:r>
      <w:r w:rsidR="004C48CB">
        <w:t>performed</w:t>
      </w:r>
      <w:r w:rsidR="00E84280">
        <w:t xml:space="preserve"> annually with </w:t>
      </w:r>
      <w:r w:rsidR="005D5A48">
        <w:t xml:space="preserve">promised </w:t>
      </w:r>
      <w:r w:rsidR="004C48CB">
        <w:t>individual</w:t>
      </w:r>
      <w:r w:rsidR="005D5A48">
        <w:t xml:space="preserve"> ACCG member contributions</w:t>
      </w:r>
      <w:r w:rsidR="003D164C">
        <w:t>.</w:t>
      </w:r>
      <w:r w:rsidR="005D5A48">
        <w:t xml:space="preserve"> </w:t>
      </w:r>
      <w:r w:rsidR="004C48CB" w:rsidRPr="004C48CB">
        <w:t xml:space="preserve">If </w:t>
      </w:r>
      <w:r w:rsidR="00B00874">
        <w:t xml:space="preserve">additional </w:t>
      </w:r>
      <w:r w:rsidR="005E27A8">
        <w:t>funding became available</w:t>
      </w:r>
      <w:r w:rsidR="004C48CB" w:rsidRPr="004C48CB">
        <w:t>, the ACCG Administration Work Group will revisit the scope of work and identify additional services the Administrator(s) would perform</w:t>
      </w:r>
      <w:r w:rsidR="005E27A8">
        <w:t xml:space="preserve"> under the Expanded SOW</w:t>
      </w:r>
      <w:r w:rsidR="004C48CB">
        <w:t>.</w:t>
      </w:r>
      <w:r w:rsidR="00800D36">
        <w:t xml:space="preserve"> *Current Administrator</w:t>
      </w:r>
      <w:r w:rsidR="006C483A">
        <w:t xml:space="preserve">s </w:t>
      </w:r>
      <w:r w:rsidR="00DC4DAC">
        <w:t>hourly rates were used to calculate costs.</w:t>
      </w:r>
    </w:p>
    <w:p w14:paraId="444D74E5" w14:textId="77777777" w:rsidR="00C47FF7" w:rsidRDefault="00C47FF7" w:rsidP="00C47F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6"/>
        <w:gridCol w:w="1260"/>
        <w:gridCol w:w="1224"/>
      </w:tblGrid>
      <w:tr w:rsidR="004A6342" w14:paraId="25394263" w14:textId="62CA9811" w:rsidTr="00A518B4">
        <w:trPr>
          <w:trHeight w:val="359"/>
        </w:trPr>
        <w:tc>
          <w:tcPr>
            <w:tcW w:w="6925" w:type="dxa"/>
            <w:vMerge w:val="restart"/>
            <w:shd w:val="clear" w:color="auto" w:fill="A8D08D" w:themeFill="accent6" w:themeFillTint="99"/>
          </w:tcPr>
          <w:p w14:paraId="7DBFE2AB" w14:textId="2B7E713D" w:rsidR="004A6342" w:rsidRPr="00F52010" w:rsidRDefault="00EF5FED" w:rsidP="00C47FF7">
            <w:pPr>
              <w:rPr>
                <w:b/>
                <w:bCs/>
              </w:rPr>
            </w:pPr>
            <w:r>
              <w:rPr>
                <w:b/>
                <w:bCs/>
              </w:rPr>
              <w:t>Scope of work (SOW) tasks</w:t>
            </w:r>
          </w:p>
        </w:tc>
        <w:tc>
          <w:tcPr>
            <w:tcW w:w="2425" w:type="dxa"/>
            <w:gridSpan w:val="2"/>
            <w:shd w:val="clear" w:color="auto" w:fill="A8D08D" w:themeFill="accent6" w:themeFillTint="99"/>
            <w:vAlign w:val="center"/>
          </w:tcPr>
          <w:p w14:paraId="1138B04D" w14:textId="422FFC6E" w:rsidR="004A6342" w:rsidRPr="00F52010" w:rsidRDefault="004A6342" w:rsidP="00736FDA">
            <w:pPr>
              <w:jc w:val="center"/>
              <w:rPr>
                <w:b/>
                <w:bCs/>
              </w:rPr>
            </w:pPr>
            <w:r w:rsidRPr="00F52010">
              <w:rPr>
                <w:b/>
                <w:bCs/>
              </w:rPr>
              <w:t>Es</w:t>
            </w:r>
            <w:r>
              <w:rPr>
                <w:b/>
                <w:bCs/>
              </w:rPr>
              <w:t>timated hours/</w:t>
            </w:r>
            <w:r w:rsidR="00B95158">
              <w:rPr>
                <w:b/>
                <w:bCs/>
              </w:rPr>
              <w:t>year</w:t>
            </w:r>
          </w:p>
        </w:tc>
      </w:tr>
      <w:tr w:rsidR="004A6342" w14:paraId="40E94273" w14:textId="77777777" w:rsidTr="00A518B4">
        <w:tc>
          <w:tcPr>
            <w:tcW w:w="6925" w:type="dxa"/>
            <w:vMerge/>
            <w:shd w:val="clear" w:color="auto" w:fill="A8D08D" w:themeFill="accent6" w:themeFillTint="99"/>
          </w:tcPr>
          <w:p w14:paraId="6712A45A" w14:textId="77777777" w:rsidR="004A6342" w:rsidRPr="00F52010" w:rsidRDefault="004A6342" w:rsidP="00C47FF7">
            <w:pPr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8D08D" w:themeFill="accent6" w:themeFillTint="99"/>
            <w:vAlign w:val="center"/>
          </w:tcPr>
          <w:p w14:paraId="5137F8EB" w14:textId="32FD3006" w:rsidR="004A6342" w:rsidRPr="004A6342" w:rsidRDefault="004A6342" w:rsidP="004A6342">
            <w:pPr>
              <w:jc w:val="center"/>
            </w:pPr>
            <w:r w:rsidRPr="004A6342">
              <w:t>Proposed SOW</w:t>
            </w:r>
          </w:p>
        </w:tc>
        <w:tc>
          <w:tcPr>
            <w:tcW w:w="1165" w:type="dxa"/>
            <w:shd w:val="clear" w:color="auto" w:fill="A8D08D" w:themeFill="accent6" w:themeFillTint="99"/>
            <w:vAlign w:val="center"/>
          </w:tcPr>
          <w:p w14:paraId="6B55429C" w14:textId="075610E9" w:rsidR="004A6342" w:rsidRPr="004A6342" w:rsidRDefault="004A6342" w:rsidP="004A6342">
            <w:pPr>
              <w:jc w:val="center"/>
            </w:pPr>
            <w:r w:rsidRPr="004A6342">
              <w:t>Expanded SOW</w:t>
            </w:r>
          </w:p>
        </w:tc>
      </w:tr>
      <w:tr w:rsidR="001B675F" w14:paraId="742F794D" w14:textId="79C3E326" w:rsidTr="0034258C">
        <w:tc>
          <w:tcPr>
            <w:tcW w:w="6925" w:type="dxa"/>
            <w:shd w:val="clear" w:color="auto" w:fill="FFFFFF" w:themeFill="background1"/>
          </w:tcPr>
          <w:p w14:paraId="20B490EE" w14:textId="56F97104" w:rsidR="001B675F" w:rsidRDefault="001B675F" w:rsidP="00C47FF7">
            <w:r w:rsidRPr="00B52695">
              <w:rPr>
                <w:b/>
                <w:bCs/>
              </w:rPr>
              <w:t>General meetings</w:t>
            </w:r>
            <w:r>
              <w:t xml:space="preserve">: host bi-monthly meetings remotely, </w:t>
            </w:r>
            <w:r w:rsidRPr="00B52695">
              <w:t>prepare meeting agendas and materials, develop meeting summaries, perform any action items.</w:t>
            </w:r>
            <w:r w:rsidR="00774806">
              <w:t xml:space="preserve"> (</w:t>
            </w:r>
            <w:r w:rsidR="00EF25C9">
              <w:t>Assumes</w:t>
            </w:r>
            <w:r w:rsidR="00774806">
              <w:t xml:space="preserve"> 6 meetings/year </w:t>
            </w:r>
            <w:r w:rsidR="00112101">
              <w:t>for</w:t>
            </w:r>
            <w:r w:rsidR="00774806">
              <w:t xml:space="preserve"> Proposed SOW and 11 meetings/year</w:t>
            </w:r>
            <w:r w:rsidR="0094473A">
              <w:t xml:space="preserve"> </w:t>
            </w:r>
            <w:r w:rsidR="00112101">
              <w:t>for</w:t>
            </w:r>
            <w:r w:rsidR="0094473A">
              <w:t xml:space="preserve"> Expanded SOW</w:t>
            </w:r>
            <w:r w:rsidR="00B13D35">
              <w:t>. Expanded</w:t>
            </w:r>
            <w:r w:rsidR="00112101">
              <w:t xml:space="preserve"> SOW</w:t>
            </w:r>
            <w:r w:rsidR="00B13D35">
              <w:t xml:space="preserve"> assumes </w:t>
            </w:r>
            <w:r w:rsidR="008F2893">
              <w:t xml:space="preserve">attending </w:t>
            </w:r>
            <w:r w:rsidR="00CB6E2F">
              <w:t xml:space="preserve">monthly general </w:t>
            </w:r>
            <w:r w:rsidR="008F2893">
              <w:t>meeting</w:t>
            </w:r>
            <w:r w:rsidR="00CB6E2F">
              <w:t>s</w:t>
            </w:r>
            <w:r w:rsidR="008F2893">
              <w:t xml:space="preserve"> in person and </w:t>
            </w:r>
            <w:r w:rsidR="000164A5">
              <w:t xml:space="preserve">hours include </w:t>
            </w:r>
            <w:r w:rsidR="00B13D35">
              <w:t>travel</w:t>
            </w:r>
            <w:r w:rsidR="00112101">
              <w:t xml:space="preserve"> </w:t>
            </w:r>
            <w:r w:rsidR="00B13D35">
              <w:t>time</w:t>
            </w:r>
            <w:r w:rsidR="00774806">
              <w:t>).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28C072" w14:textId="12D7339A" w:rsidR="001B675F" w:rsidRDefault="00C56617" w:rsidP="00F37DAE">
            <w:pPr>
              <w:jc w:val="center"/>
            </w:pPr>
            <w:r>
              <w:t>72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AEE31FF" w14:textId="1BDB6893" w:rsidR="001B675F" w:rsidRDefault="00B13D35" w:rsidP="00F37DAE">
            <w:pPr>
              <w:jc w:val="center"/>
            </w:pPr>
            <w:r>
              <w:t>165</w:t>
            </w:r>
          </w:p>
        </w:tc>
      </w:tr>
      <w:tr w:rsidR="001B675F" w14:paraId="441AD4BA" w14:textId="5B927ABB" w:rsidTr="0034258C">
        <w:tc>
          <w:tcPr>
            <w:tcW w:w="6925" w:type="dxa"/>
            <w:shd w:val="clear" w:color="auto" w:fill="FFFFFF" w:themeFill="background1"/>
          </w:tcPr>
          <w:p w14:paraId="5C4D835F" w14:textId="68BF6443" w:rsidR="001B675F" w:rsidRDefault="001B675F" w:rsidP="00C47FF7">
            <w:r w:rsidRPr="004A6342">
              <w:rPr>
                <w:b/>
                <w:bCs/>
              </w:rPr>
              <w:t>Admin work group</w:t>
            </w:r>
            <w:r>
              <w:t xml:space="preserve">: </w:t>
            </w:r>
            <w:r w:rsidRPr="001B675F">
              <w:t>Host virtual Admin work group monthly 1-hr meetings, prepare meeting agendas, develop and perform meeting action items.</w:t>
            </w:r>
            <w:r w:rsidR="0094473A">
              <w:t xml:space="preserve"> (</w:t>
            </w:r>
            <w:r w:rsidR="00EF25C9">
              <w:t>Assumes</w:t>
            </w:r>
            <w:r w:rsidR="0094473A">
              <w:t xml:space="preserve"> 12 meetings/year </w:t>
            </w:r>
            <w:r w:rsidR="00112101">
              <w:t>for</w:t>
            </w:r>
            <w:r w:rsidR="0094473A">
              <w:t xml:space="preserve"> Expanded SOW).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4B5ABDB" w14:textId="7BFA9E8B" w:rsidR="001B675F" w:rsidRDefault="001B675F" w:rsidP="00F37DAE">
            <w:pPr>
              <w:jc w:val="center"/>
            </w:pPr>
            <w:r>
              <w:t>0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D7B45DB" w14:textId="4E03A2AB" w:rsidR="001B675F" w:rsidRDefault="0034353C" w:rsidP="00F37DAE">
            <w:pPr>
              <w:jc w:val="center"/>
            </w:pPr>
            <w:r>
              <w:t>24</w:t>
            </w:r>
          </w:p>
        </w:tc>
      </w:tr>
      <w:tr w:rsidR="001B675F" w14:paraId="088D1319" w14:textId="6A8DDACE" w:rsidTr="0034258C">
        <w:tc>
          <w:tcPr>
            <w:tcW w:w="6925" w:type="dxa"/>
            <w:shd w:val="clear" w:color="auto" w:fill="FFFFFF" w:themeFill="background1"/>
          </w:tcPr>
          <w:p w14:paraId="545FAA4D" w14:textId="2E7C76E2" w:rsidR="001B675F" w:rsidRDefault="00B95158" w:rsidP="00C47FF7">
            <w:r w:rsidRPr="00B03F83">
              <w:rPr>
                <w:b/>
                <w:bCs/>
              </w:rPr>
              <w:t>Planning work group</w:t>
            </w:r>
            <w:r>
              <w:t>:</w:t>
            </w:r>
            <w:r w:rsidR="00FA65D2">
              <w:t xml:space="preserve"> </w:t>
            </w:r>
            <w:r w:rsidR="00FA65D2" w:rsidRPr="00FA65D2">
              <w:t xml:space="preserve">Host, facilitate virtual </w:t>
            </w:r>
            <w:r w:rsidR="00FA65D2">
              <w:t xml:space="preserve">bi-monthly </w:t>
            </w:r>
            <w:r w:rsidR="00B75540">
              <w:t xml:space="preserve">(monthly under Expanded SOW) </w:t>
            </w:r>
            <w:r w:rsidR="00FA65D2" w:rsidRPr="00FA65D2">
              <w:t>2-3-hr Planning work group meetings, prepare meeting agendas and other materials, develop meeting summaries and perform meeting action items.</w:t>
            </w:r>
            <w:r w:rsidR="00774806">
              <w:t xml:space="preserve"> (</w:t>
            </w:r>
            <w:r w:rsidR="00EF25C9">
              <w:t>Assumes</w:t>
            </w:r>
            <w:r w:rsidR="0094473A">
              <w:t xml:space="preserve"> 6 meetings/year </w:t>
            </w:r>
            <w:r w:rsidR="00112101">
              <w:t>for</w:t>
            </w:r>
            <w:r w:rsidR="0094473A">
              <w:t xml:space="preserve"> Proposed SOW and 11 meetings/year </w:t>
            </w:r>
            <w:r w:rsidR="00112101">
              <w:t>for</w:t>
            </w:r>
            <w:r w:rsidR="0094473A">
              <w:t xml:space="preserve"> Expanded SOW</w:t>
            </w:r>
            <w:r w:rsidR="00774806">
              <w:t>).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51537CB" w14:textId="5807A7CF" w:rsidR="001B675F" w:rsidRDefault="00A6615C" w:rsidP="00F37DAE">
            <w:pPr>
              <w:jc w:val="center"/>
            </w:pPr>
            <w:r>
              <w:t>36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F10123C" w14:textId="2858F913" w:rsidR="001B675F" w:rsidRDefault="00323175" w:rsidP="00F37DAE">
            <w:pPr>
              <w:jc w:val="center"/>
            </w:pPr>
            <w:r>
              <w:t>66</w:t>
            </w:r>
          </w:p>
        </w:tc>
      </w:tr>
      <w:tr w:rsidR="001B675F" w14:paraId="1F628D5E" w14:textId="76D06409" w:rsidTr="0034258C">
        <w:tc>
          <w:tcPr>
            <w:tcW w:w="6925" w:type="dxa"/>
            <w:shd w:val="clear" w:color="auto" w:fill="FFFFFF" w:themeFill="background1"/>
          </w:tcPr>
          <w:p w14:paraId="27226912" w14:textId="7676692C" w:rsidR="001B675F" w:rsidRPr="00B03F83" w:rsidRDefault="00B95158" w:rsidP="00C47FF7">
            <w:pPr>
              <w:rPr>
                <w:b/>
                <w:bCs/>
              </w:rPr>
            </w:pPr>
            <w:r w:rsidRPr="00B03F83">
              <w:rPr>
                <w:b/>
                <w:bCs/>
              </w:rPr>
              <w:t xml:space="preserve">Ad Hoc of </w:t>
            </w:r>
            <w:r w:rsidR="00B03F83">
              <w:rPr>
                <w:b/>
                <w:bCs/>
              </w:rPr>
              <w:t xml:space="preserve">the </w:t>
            </w:r>
            <w:r w:rsidRPr="00B03F83">
              <w:rPr>
                <w:b/>
                <w:bCs/>
              </w:rPr>
              <w:t>Planning work group</w:t>
            </w:r>
            <w:r w:rsidR="00B03F83">
              <w:rPr>
                <w:b/>
                <w:bCs/>
              </w:rPr>
              <w:t>:</w:t>
            </w:r>
            <w:r w:rsidR="00FA65D2">
              <w:rPr>
                <w:b/>
                <w:bCs/>
              </w:rPr>
              <w:t xml:space="preserve"> </w:t>
            </w:r>
            <w:r w:rsidR="00FA65D2" w:rsidRPr="00FA65D2">
              <w:t xml:space="preserve">Host, facilitate virtual </w:t>
            </w:r>
            <w:r w:rsidR="00FA65D2">
              <w:t xml:space="preserve">bi-monthly </w:t>
            </w:r>
            <w:r w:rsidR="00B75540">
              <w:t xml:space="preserve">(monthly under Expanded SOW) </w:t>
            </w:r>
            <w:r w:rsidR="00FA65D2" w:rsidRPr="00FA65D2">
              <w:t>2-hr Ad Hoc meetings, prepare meeting agendas, develop and perform meeting action items.</w:t>
            </w:r>
            <w:r w:rsidR="00FA65D2" w:rsidRPr="00FA65D2">
              <w:rPr>
                <w:b/>
                <w:bCs/>
              </w:rPr>
              <w:t xml:space="preserve"> </w:t>
            </w:r>
            <w:r w:rsidR="0094473A">
              <w:t>(</w:t>
            </w:r>
            <w:r w:rsidR="00EF25C9">
              <w:t>Assumes</w:t>
            </w:r>
            <w:r w:rsidR="0094473A">
              <w:t xml:space="preserve"> 6 meetings/year </w:t>
            </w:r>
            <w:r w:rsidR="00112101">
              <w:t>for</w:t>
            </w:r>
            <w:r w:rsidR="0094473A">
              <w:t xml:space="preserve"> Proposed SOW and 11 meetings/year </w:t>
            </w:r>
            <w:r w:rsidR="00112101">
              <w:t>for</w:t>
            </w:r>
            <w:r w:rsidR="0094473A">
              <w:t xml:space="preserve"> Expanded SOW).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E2599D9" w14:textId="5ECF207A" w:rsidR="001B675F" w:rsidRDefault="00A6615C" w:rsidP="00F37DAE">
            <w:pPr>
              <w:jc w:val="center"/>
            </w:pPr>
            <w:r>
              <w:t>24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39AB3C4" w14:textId="7812982C" w:rsidR="001B675F" w:rsidRDefault="005B1302" w:rsidP="00F37DAE">
            <w:pPr>
              <w:jc w:val="center"/>
            </w:pPr>
            <w:r>
              <w:t>44</w:t>
            </w:r>
          </w:p>
        </w:tc>
      </w:tr>
      <w:tr w:rsidR="001B675F" w14:paraId="09917A39" w14:textId="59C4E1E3" w:rsidTr="0034258C">
        <w:tc>
          <w:tcPr>
            <w:tcW w:w="6925" w:type="dxa"/>
            <w:shd w:val="clear" w:color="auto" w:fill="FFFFFF" w:themeFill="background1"/>
          </w:tcPr>
          <w:p w14:paraId="22D61AD4" w14:textId="745DA93F" w:rsidR="001B675F" w:rsidRDefault="00F37DAE" w:rsidP="00C47FF7">
            <w:r w:rsidRPr="00F37DAE">
              <w:rPr>
                <w:b/>
                <w:bCs/>
              </w:rPr>
              <w:t>Monitoring work group</w:t>
            </w:r>
            <w:r>
              <w:t xml:space="preserve">: </w:t>
            </w:r>
            <w:r w:rsidRPr="00F37DAE">
              <w:t>Host virtual 2-hr monthly meetings, develop agenda, coordinate with Monitoring WG lead, develop meeting summaries.</w:t>
            </w:r>
            <w:r w:rsidR="00774806">
              <w:t xml:space="preserve"> (</w:t>
            </w:r>
            <w:r w:rsidR="00EF25C9">
              <w:t>Assumes</w:t>
            </w:r>
            <w:r w:rsidR="00774806">
              <w:t xml:space="preserve"> 12 meetings per year).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CFFC07" w14:textId="525B20C9" w:rsidR="001B675F" w:rsidRDefault="009763D8" w:rsidP="00F37DAE">
            <w:pPr>
              <w:jc w:val="center"/>
            </w:pPr>
            <w:r>
              <w:t>0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11A98AE" w14:textId="6C116677" w:rsidR="001B675F" w:rsidRDefault="00774806" w:rsidP="00F37DAE">
            <w:pPr>
              <w:jc w:val="center"/>
            </w:pPr>
            <w:r>
              <w:t>72</w:t>
            </w:r>
          </w:p>
        </w:tc>
      </w:tr>
      <w:tr w:rsidR="001B675F" w14:paraId="5826E92B" w14:textId="77777777" w:rsidTr="0034258C">
        <w:tc>
          <w:tcPr>
            <w:tcW w:w="6925" w:type="dxa"/>
            <w:shd w:val="clear" w:color="auto" w:fill="FFFFFF" w:themeFill="background1"/>
          </w:tcPr>
          <w:p w14:paraId="1C6E787D" w14:textId="236F40B2" w:rsidR="001B675F" w:rsidRPr="00F37DAE" w:rsidRDefault="00F37DAE" w:rsidP="00C47FF7">
            <w:pPr>
              <w:rPr>
                <w:b/>
                <w:bCs/>
              </w:rPr>
            </w:pPr>
            <w:r w:rsidRPr="00F37DAE">
              <w:rPr>
                <w:b/>
                <w:bCs/>
              </w:rPr>
              <w:t>Outreach</w:t>
            </w:r>
            <w:r w:rsidR="009763D8">
              <w:rPr>
                <w:b/>
                <w:bCs/>
              </w:rPr>
              <w:t xml:space="preserve">: </w:t>
            </w:r>
            <w:r w:rsidR="009763D8">
              <w:t>S</w:t>
            </w:r>
            <w:r w:rsidR="009763D8" w:rsidRPr="009763D8">
              <w:t>hare articles with ACCG listserv</w:t>
            </w:r>
            <w:r w:rsidR="00C7139B">
              <w:t>,</w:t>
            </w:r>
            <w:r w:rsidR="009763D8" w:rsidRPr="009763D8">
              <w:t xml:space="preserve"> share member news with ACCG listserv</w:t>
            </w:r>
            <w:r w:rsidR="00C7139B">
              <w:t>,</w:t>
            </w:r>
            <w:r w:rsidR="009763D8" w:rsidRPr="009763D8">
              <w:t xml:space="preserve"> perform guest presenter outreach ahead of general meetings</w:t>
            </w:r>
            <w:r w:rsidR="00C7139B">
              <w:t>, and</w:t>
            </w:r>
            <w:r w:rsidR="009763D8">
              <w:t xml:space="preserve"> other outreach.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5110E61" w14:textId="68C3D96E" w:rsidR="001B675F" w:rsidRDefault="00274709" w:rsidP="00F37DAE">
            <w:pPr>
              <w:jc w:val="center"/>
            </w:pPr>
            <w:r>
              <w:t>60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A617735" w14:textId="0C927393" w:rsidR="001B675F" w:rsidRDefault="00774806" w:rsidP="00F37DAE">
            <w:pPr>
              <w:jc w:val="center"/>
            </w:pPr>
            <w:r>
              <w:t>60</w:t>
            </w:r>
          </w:p>
        </w:tc>
      </w:tr>
      <w:tr w:rsidR="001B675F" w14:paraId="7FB0DA61" w14:textId="77777777" w:rsidTr="0034258C">
        <w:tc>
          <w:tcPr>
            <w:tcW w:w="6925" w:type="dxa"/>
            <w:shd w:val="clear" w:color="auto" w:fill="FFFFFF" w:themeFill="background1"/>
          </w:tcPr>
          <w:p w14:paraId="4A33B7C1" w14:textId="5D834785" w:rsidR="001B675F" w:rsidRPr="00F37DAE" w:rsidRDefault="00F37DAE" w:rsidP="00C47FF7">
            <w:pPr>
              <w:rPr>
                <w:b/>
                <w:bCs/>
              </w:rPr>
            </w:pPr>
            <w:r w:rsidRPr="00F37DAE">
              <w:rPr>
                <w:b/>
                <w:bCs/>
              </w:rPr>
              <w:t>Website</w:t>
            </w:r>
            <w:r w:rsidR="009763D8">
              <w:rPr>
                <w:b/>
                <w:bCs/>
              </w:rPr>
              <w:t xml:space="preserve">: </w:t>
            </w:r>
            <w:r w:rsidR="009763D8" w:rsidRPr="009763D8">
              <w:t>Post meeting materials to website</w:t>
            </w:r>
            <w:r w:rsidR="00C7139B">
              <w:t>,</w:t>
            </w:r>
            <w:r w:rsidR="009763D8" w:rsidRPr="009763D8">
              <w:t xml:space="preserve"> post presentation recordings and news posts to website</w:t>
            </w:r>
            <w:r w:rsidR="00C7139B">
              <w:t xml:space="preserve">, and </w:t>
            </w:r>
            <w:r w:rsidR="009763D8" w:rsidRPr="009763D8">
              <w:t>other website maintenance</w:t>
            </w:r>
            <w:r w:rsidR="00C7139B">
              <w:t>.</w:t>
            </w:r>
            <w:r w:rsidR="00417825">
              <w:t xml:space="preserve"> </w:t>
            </w:r>
            <w:r w:rsidR="00DE06C0">
              <w:t>Note: E</w:t>
            </w:r>
            <w:r w:rsidR="00417825">
              <w:t xml:space="preserve">xpanded SOW includes </w:t>
            </w:r>
            <w:r w:rsidR="00C7139B">
              <w:t>additional</w:t>
            </w:r>
            <w:r w:rsidR="00417825">
              <w:t xml:space="preserve"> </w:t>
            </w:r>
            <w:r w:rsidR="00C7139B">
              <w:t xml:space="preserve">approximate </w:t>
            </w:r>
            <w:r w:rsidR="00417825">
              <w:t xml:space="preserve">hours per month to have an increased website </w:t>
            </w:r>
            <w:r w:rsidR="00DE06C0">
              <w:t>presence.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D1D34AA" w14:textId="4BD8219D" w:rsidR="001B675F" w:rsidRDefault="00AA1987" w:rsidP="00F37DAE">
            <w:pPr>
              <w:jc w:val="center"/>
            </w:pPr>
            <w:r>
              <w:t>60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47A3786" w14:textId="08D645CE" w:rsidR="001B675F" w:rsidRDefault="00774806" w:rsidP="00F37DAE">
            <w:pPr>
              <w:jc w:val="center"/>
            </w:pPr>
            <w:r>
              <w:t>90</w:t>
            </w:r>
          </w:p>
        </w:tc>
      </w:tr>
      <w:tr w:rsidR="00AA1987" w14:paraId="73ACE472" w14:textId="77777777" w:rsidTr="00A518B4">
        <w:tc>
          <w:tcPr>
            <w:tcW w:w="6925" w:type="dxa"/>
            <w:shd w:val="clear" w:color="auto" w:fill="E2EFD9" w:themeFill="accent6" w:themeFillTint="33"/>
          </w:tcPr>
          <w:p w14:paraId="699A4DB6" w14:textId="47C5D391" w:rsidR="00AA1987" w:rsidRPr="00F82BF0" w:rsidRDefault="00696073" w:rsidP="00C47FF7">
            <w:r w:rsidRPr="00F82BF0">
              <w:t>Estimated total hours, annually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5FA42684" w14:textId="120137ED" w:rsidR="00AA1987" w:rsidRDefault="00CB09C1" w:rsidP="00F37DAE">
            <w:pPr>
              <w:jc w:val="center"/>
            </w:pPr>
            <w:r>
              <w:t>252</w:t>
            </w:r>
          </w:p>
        </w:tc>
        <w:tc>
          <w:tcPr>
            <w:tcW w:w="1165" w:type="dxa"/>
            <w:shd w:val="clear" w:color="auto" w:fill="E2EFD9" w:themeFill="accent6" w:themeFillTint="33"/>
            <w:vAlign w:val="center"/>
          </w:tcPr>
          <w:p w14:paraId="37668945" w14:textId="2BC2B44E" w:rsidR="00AA1987" w:rsidRDefault="00AA0BD1" w:rsidP="00F37DAE">
            <w:pPr>
              <w:jc w:val="center"/>
            </w:pPr>
            <w:r>
              <w:t>521</w:t>
            </w:r>
          </w:p>
        </w:tc>
      </w:tr>
      <w:tr w:rsidR="001C4421" w14:paraId="473943A6" w14:textId="77777777" w:rsidTr="00F82BF0">
        <w:tc>
          <w:tcPr>
            <w:tcW w:w="6925" w:type="dxa"/>
            <w:shd w:val="clear" w:color="auto" w:fill="E2EFD9" w:themeFill="accent6" w:themeFillTint="33"/>
          </w:tcPr>
          <w:p w14:paraId="5C02F96A" w14:textId="52320210" w:rsidR="001C4421" w:rsidRPr="00001E01" w:rsidRDefault="001C4421" w:rsidP="00C47FF7">
            <w:r w:rsidRPr="00001E01">
              <w:t xml:space="preserve">Estimated </w:t>
            </w:r>
            <w:r w:rsidR="00696073" w:rsidRPr="00001E01">
              <w:t>total cost for</w:t>
            </w:r>
            <w:r w:rsidRPr="00001E01">
              <w:t xml:space="preserve"> Administrator(s) </w:t>
            </w:r>
            <w:r w:rsidR="00696073" w:rsidRPr="00001E01">
              <w:t>services, annually</w:t>
            </w:r>
            <w:r w:rsidR="00800D36" w:rsidRPr="00001E01">
              <w:t>*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9274AF8" w14:textId="48E15123" w:rsidR="001C4421" w:rsidRPr="00001E01" w:rsidRDefault="009B0E86" w:rsidP="009B0E86">
            <w:pPr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001E01">
              <w:rPr>
                <w:rFonts w:ascii="Calibri" w:hAnsi="Calibri" w:cs="Calibri"/>
              </w:rPr>
              <w:t>$19,200.00</w:t>
            </w:r>
          </w:p>
        </w:tc>
        <w:tc>
          <w:tcPr>
            <w:tcW w:w="1165" w:type="dxa"/>
            <w:shd w:val="clear" w:color="auto" w:fill="E2EFD9" w:themeFill="accent6" w:themeFillTint="33"/>
            <w:vAlign w:val="center"/>
          </w:tcPr>
          <w:p w14:paraId="7374143C" w14:textId="491F882E" w:rsidR="001C4421" w:rsidRPr="00001E01" w:rsidRDefault="005204BF" w:rsidP="00F37DAE">
            <w:pPr>
              <w:jc w:val="center"/>
            </w:pPr>
            <w:r w:rsidRPr="00001E01">
              <w:t>$46,925.00</w:t>
            </w:r>
          </w:p>
        </w:tc>
      </w:tr>
      <w:tr w:rsidR="00323175" w14:paraId="63B52C82" w14:textId="77777777" w:rsidTr="00F82BF0">
        <w:tc>
          <w:tcPr>
            <w:tcW w:w="6925" w:type="dxa"/>
            <w:shd w:val="clear" w:color="auto" w:fill="E2EFD9" w:themeFill="accent6" w:themeFillTint="33"/>
          </w:tcPr>
          <w:p w14:paraId="35793678" w14:textId="10176059" w:rsidR="00323175" w:rsidRPr="00001E01" w:rsidRDefault="00EA1E6D" w:rsidP="00C47FF7">
            <w:r w:rsidRPr="00001E01">
              <w:lastRenderedPageBreak/>
              <w:t>Estimated a</w:t>
            </w:r>
            <w:r w:rsidR="00323175" w:rsidRPr="00001E01">
              <w:t>dditional annual costs: ACCG website hosting &amp; domain fees; third-party website health monitoring</w:t>
            </w:r>
            <w:r w:rsidR="00255917">
              <w:t xml:space="preserve"> and maintenance</w:t>
            </w:r>
            <w:r w:rsidR="00323175" w:rsidRPr="00001E01">
              <w:t>.</w:t>
            </w:r>
            <w:r w:rsidR="006A7E67">
              <w:t xml:space="preserve"> (Costs could vary</w:t>
            </w:r>
            <w:r w:rsidR="009B1FC1">
              <w:t xml:space="preserve"> annually</w:t>
            </w:r>
            <w:r w:rsidR="006A7E67">
              <w:t>).</w:t>
            </w:r>
          </w:p>
        </w:tc>
        <w:tc>
          <w:tcPr>
            <w:tcW w:w="2425" w:type="dxa"/>
            <w:gridSpan w:val="2"/>
            <w:shd w:val="clear" w:color="auto" w:fill="E2EFD9" w:themeFill="accent6" w:themeFillTint="33"/>
            <w:vAlign w:val="center"/>
          </w:tcPr>
          <w:p w14:paraId="4B82604C" w14:textId="781F4BD8" w:rsidR="00323175" w:rsidRPr="00001E01" w:rsidRDefault="00323175" w:rsidP="00B52695">
            <w:pPr>
              <w:jc w:val="center"/>
            </w:pPr>
            <w:r w:rsidRPr="00001E01">
              <w:t>$650.00</w:t>
            </w:r>
          </w:p>
        </w:tc>
      </w:tr>
      <w:tr w:rsidR="00F37DAE" w14:paraId="4C436271" w14:textId="77777777" w:rsidTr="00A518B4">
        <w:tc>
          <w:tcPr>
            <w:tcW w:w="6925" w:type="dxa"/>
            <w:shd w:val="clear" w:color="auto" w:fill="A8D08D" w:themeFill="accent6" w:themeFillTint="99"/>
          </w:tcPr>
          <w:p w14:paraId="2841740B" w14:textId="6F5B6B1A" w:rsidR="00F37DAE" w:rsidRPr="00A518B4" w:rsidRDefault="00F82BF0" w:rsidP="00C47F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Estimated total </w:t>
            </w:r>
            <w:r w:rsidR="0048588D">
              <w:rPr>
                <w:b/>
                <w:bCs/>
              </w:rPr>
              <w:t xml:space="preserve">ACCG administration-related </w:t>
            </w:r>
            <w:r w:rsidR="00A518B4" w:rsidRPr="00A518B4">
              <w:rPr>
                <w:b/>
                <w:bCs/>
              </w:rPr>
              <w:t>cost, annually</w:t>
            </w:r>
          </w:p>
        </w:tc>
        <w:tc>
          <w:tcPr>
            <w:tcW w:w="1260" w:type="dxa"/>
            <w:shd w:val="clear" w:color="auto" w:fill="A8D08D" w:themeFill="accent6" w:themeFillTint="99"/>
            <w:vAlign w:val="center"/>
          </w:tcPr>
          <w:p w14:paraId="720D83FD" w14:textId="6322E3D0" w:rsidR="00F37DAE" w:rsidRPr="00A518B4" w:rsidRDefault="000568E3" w:rsidP="00B52695">
            <w:pPr>
              <w:jc w:val="center"/>
              <w:rPr>
                <w:b/>
                <w:bCs/>
              </w:rPr>
            </w:pPr>
            <w:r w:rsidRPr="000568E3">
              <w:rPr>
                <w:b/>
                <w:bCs/>
                <w:color w:val="EE0000"/>
              </w:rPr>
              <w:t>$19,8</w:t>
            </w:r>
            <w:r w:rsidR="00365FE5">
              <w:rPr>
                <w:b/>
                <w:bCs/>
                <w:color w:val="EE0000"/>
              </w:rPr>
              <w:t>50</w:t>
            </w:r>
            <w:r w:rsidRPr="000568E3">
              <w:rPr>
                <w:b/>
                <w:bCs/>
                <w:color w:val="EE0000"/>
              </w:rPr>
              <w:t>.00</w:t>
            </w:r>
          </w:p>
        </w:tc>
        <w:tc>
          <w:tcPr>
            <w:tcW w:w="1165" w:type="dxa"/>
            <w:shd w:val="clear" w:color="auto" w:fill="A8D08D" w:themeFill="accent6" w:themeFillTint="99"/>
          </w:tcPr>
          <w:p w14:paraId="0B8D7162" w14:textId="6469A8C8" w:rsidR="00F37DAE" w:rsidRPr="00A518B4" w:rsidRDefault="003F26FC" w:rsidP="00B52695">
            <w:pPr>
              <w:jc w:val="center"/>
              <w:rPr>
                <w:b/>
                <w:bCs/>
              </w:rPr>
            </w:pPr>
            <w:r w:rsidRPr="003F26FC">
              <w:rPr>
                <w:b/>
                <w:bCs/>
              </w:rPr>
              <w:t>$47,5</w:t>
            </w:r>
            <w:r w:rsidR="00365FE5">
              <w:rPr>
                <w:b/>
                <w:bCs/>
              </w:rPr>
              <w:t>75</w:t>
            </w:r>
            <w:r w:rsidRPr="003F26FC">
              <w:rPr>
                <w:b/>
                <w:bCs/>
              </w:rPr>
              <w:t>.00</w:t>
            </w:r>
          </w:p>
        </w:tc>
      </w:tr>
    </w:tbl>
    <w:p w14:paraId="28A507EC" w14:textId="663BDD4F" w:rsidR="00481E24" w:rsidRDefault="000A7DB2" w:rsidP="00481E24">
      <w:pPr>
        <w:pStyle w:val="Heading1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bookmarkStart w:id="8" w:name="_Toc213933005"/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Opportunities for </w:t>
      </w:r>
      <w:r w:rsidR="00435FDB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ncreased Administration Capacity</w:t>
      </w:r>
      <w:bookmarkEnd w:id="8"/>
    </w:p>
    <w:p w14:paraId="37A23E73" w14:textId="77777777" w:rsidR="00481E24" w:rsidRPr="00481E24" w:rsidRDefault="00481E24" w:rsidP="00481E24"/>
    <w:p w14:paraId="39E24A7C" w14:textId="5092E3F9" w:rsidR="007F3D62" w:rsidRDefault="00435FDB">
      <w:r>
        <w:t xml:space="preserve">As mentioned in a previous section, if additional ACCG members choose to contribute funds towards ACCG administration services in the future, then </w:t>
      </w:r>
      <w:r w:rsidR="00537C2A">
        <w:t>ACCG administration scope of work would be expanded</w:t>
      </w:r>
      <w:r>
        <w:t>.</w:t>
      </w:r>
      <w:r w:rsidR="00003A6B">
        <w:t xml:space="preserve"> </w:t>
      </w:r>
    </w:p>
    <w:p w14:paraId="02F6D593" w14:textId="77777777" w:rsidR="00556BCF" w:rsidRDefault="00556BCF"/>
    <w:p w14:paraId="634CCF35" w14:textId="4DDCD214" w:rsidR="000F4AD0" w:rsidRDefault="0051717D">
      <w:r>
        <w:t>Additional</w:t>
      </w:r>
      <w:r w:rsidR="00556BCF">
        <w:t xml:space="preserve"> opportunities for increased </w:t>
      </w:r>
      <w:r>
        <w:t>a</w:t>
      </w:r>
      <w:r w:rsidR="00556BCF">
        <w:t xml:space="preserve">dministration capacity could be considered, including opportunities for ACCG members or participants to volunteer time toward administration tasks. One instance where this is already </w:t>
      </w:r>
      <w:r w:rsidR="00B67BAA">
        <w:t xml:space="preserve">being performed is the ACCG has a roster of volunteer general meeting facilitators that rotate facilitating general meetings. </w:t>
      </w:r>
      <w:r w:rsidR="00CF3D3E">
        <w:t>Other potential examples would be volunteers hosting and leading work group meetings.</w:t>
      </w:r>
    </w:p>
    <w:p w14:paraId="4107D2C4" w14:textId="77777777" w:rsidR="0034258C" w:rsidRPr="00B60F4F" w:rsidRDefault="0034258C" w:rsidP="0034258C">
      <w:pPr>
        <w:pStyle w:val="Heading1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bookmarkStart w:id="9" w:name="_Toc213933006"/>
      <w:r w:rsidRPr="00156634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Appendix A: Current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&amp; Projected</w:t>
      </w:r>
      <w:r w:rsidRPr="00156634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ACCG Administration 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F</w:t>
      </w:r>
      <w:r w:rsidRPr="00156634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unding 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Contributions</w:t>
      </w:r>
      <w:bookmarkEnd w:id="9"/>
    </w:p>
    <w:p w14:paraId="642D818B" w14:textId="77777777" w:rsidR="0034258C" w:rsidRDefault="0034258C" w:rsidP="00342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258C" w:rsidRPr="002E042C" w14:paraId="2384E44D" w14:textId="77777777" w:rsidTr="00D52A5A">
        <w:tc>
          <w:tcPr>
            <w:tcW w:w="3116" w:type="dxa"/>
            <w:shd w:val="clear" w:color="auto" w:fill="A8D08D" w:themeFill="accent6" w:themeFillTint="99"/>
          </w:tcPr>
          <w:p w14:paraId="40CF9141" w14:textId="77777777" w:rsidR="0034258C" w:rsidRPr="002E042C" w:rsidRDefault="0034258C" w:rsidP="00D52A5A">
            <w:pPr>
              <w:rPr>
                <w:b/>
                <w:bCs/>
              </w:rPr>
            </w:pPr>
            <w:r>
              <w:rPr>
                <w:b/>
                <w:bCs/>
              </w:rPr>
              <w:t>Fiscal Year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760449B2" w14:textId="77777777" w:rsidR="0034258C" w:rsidRPr="002E042C" w:rsidRDefault="0034258C" w:rsidP="00D52A5A">
            <w:pPr>
              <w:rPr>
                <w:b/>
                <w:bCs/>
              </w:rPr>
            </w:pPr>
            <w:r w:rsidRPr="002E042C">
              <w:rPr>
                <w:b/>
                <w:bCs/>
              </w:rPr>
              <w:t>ACCG Member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1D8C1EC3" w14:textId="77777777" w:rsidR="0034258C" w:rsidRPr="002E042C" w:rsidRDefault="0034258C" w:rsidP="00D52A5A">
            <w:pPr>
              <w:rPr>
                <w:b/>
                <w:bCs/>
              </w:rPr>
            </w:pPr>
            <w:r w:rsidRPr="002E042C">
              <w:rPr>
                <w:b/>
                <w:bCs/>
              </w:rPr>
              <w:t xml:space="preserve">Secured </w:t>
            </w:r>
            <w:r>
              <w:rPr>
                <w:b/>
                <w:bCs/>
              </w:rPr>
              <w:t>funds</w:t>
            </w:r>
          </w:p>
        </w:tc>
      </w:tr>
      <w:tr w:rsidR="0034258C" w14:paraId="2DB2DF8A" w14:textId="77777777" w:rsidTr="0034258C">
        <w:trPr>
          <w:trHeight w:val="944"/>
        </w:trPr>
        <w:tc>
          <w:tcPr>
            <w:tcW w:w="3116" w:type="dxa"/>
            <w:shd w:val="clear" w:color="auto" w:fill="FFFFFF" w:themeFill="background1"/>
          </w:tcPr>
          <w:p w14:paraId="3C37200F" w14:textId="77777777" w:rsidR="0034258C" w:rsidRDefault="0034258C" w:rsidP="00D52A5A">
            <w:r>
              <w:t>2026</w:t>
            </w:r>
          </w:p>
        </w:tc>
        <w:tc>
          <w:tcPr>
            <w:tcW w:w="3117" w:type="dxa"/>
            <w:shd w:val="clear" w:color="auto" w:fill="FFFFFF" w:themeFill="background1"/>
          </w:tcPr>
          <w:p w14:paraId="29D5C13B" w14:textId="77777777" w:rsidR="0034258C" w:rsidRDefault="0034258C" w:rsidP="00D52A5A">
            <w:r>
              <w:t xml:space="preserve">UMRWA </w:t>
            </w:r>
          </w:p>
        </w:tc>
        <w:tc>
          <w:tcPr>
            <w:tcW w:w="3117" w:type="dxa"/>
            <w:shd w:val="clear" w:color="auto" w:fill="FFFFFF" w:themeFill="background1"/>
          </w:tcPr>
          <w:p w14:paraId="0862CFDA" w14:textId="77777777" w:rsidR="0034258C" w:rsidRDefault="0034258C" w:rsidP="00D52A5A">
            <w:r>
              <w:t>$</w:t>
            </w:r>
            <w:r w:rsidRPr="006D43BC">
              <w:t>14,940.78</w:t>
            </w:r>
            <w:r>
              <w:t>, SNC RFFCP</w:t>
            </w:r>
          </w:p>
          <w:p w14:paraId="51CC8263" w14:textId="77777777" w:rsidR="0034258C" w:rsidRDefault="0034258C" w:rsidP="00D52A5A">
            <w:r>
              <w:t>$20,000.00, UMRWA General Funds</w:t>
            </w:r>
          </w:p>
        </w:tc>
      </w:tr>
      <w:tr w:rsidR="0034258C" w14:paraId="5023D053" w14:textId="77777777" w:rsidTr="0034258C">
        <w:trPr>
          <w:trHeight w:val="521"/>
        </w:trPr>
        <w:tc>
          <w:tcPr>
            <w:tcW w:w="3116" w:type="dxa"/>
            <w:shd w:val="clear" w:color="auto" w:fill="FFFFFF" w:themeFill="background1"/>
          </w:tcPr>
          <w:p w14:paraId="4236873A" w14:textId="77777777" w:rsidR="0034258C" w:rsidRDefault="0034258C" w:rsidP="00D52A5A">
            <w:r>
              <w:t>2027 (Projected)</w:t>
            </w:r>
          </w:p>
        </w:tc>
        <w:tc>
          <w:tcPr>
            <w:tcW w:w="3117" w:type="dxa"/>
            <w:shd w:val="clear" w:color="auto" w:fill="FFFFFF" w:themeFill="background1"/>
          </w:tcPr>
          <w:p w14:paraId="40EE8A98" w14:textId="77777777" w:rsidR="0034258C" w:rsidRDefault="0034258C" w:rsidP="00D52A5A">
            <w:r>
              <w:t>UMRWA</w:t>
            </w:r>
          </w:p>
        </w:tc>
        <w:tc>
          <w:tcPr>
            <w:tcW w:w="3117" w:type="dxa"/>
            <w:shd w:val="clear" w:color="auto" w:fill="FFFFFF" w:themeFill="background1"/>
          </w:tcPr>
          <w:p w14:paraId="1A47D0D9" w14:textId="77777777" w:rsidR="0034258C" w:rsidRDefault="0034258C" w:rsidP="00D52A5A">
            <w:r>
              <w:t>$20,000.00, UMRWA General Funds</w:t>
            </w:r>
          </w:p>
        </w:tc>
      </w:tr>
    </w:tbl>
    <w:p w14:paraId="08FBE289" w14:textId="77777777" w:rsidR="0034258C" w:rsidRDefault="0034258C" w:rsidP="0034258C"/>
    <w:p w14:paraId="72AAD9BC" w14:textId="5AF696E6" w:rsidR="000F4AD0" w:rsidRDefault="000F4AD0" w:rsidP="0034258C">
      <w:pPr>
        <w:pStyle w:val="Heading1"/>
      </w:pPr>
    </w:p>
    <w:sectPr w:rsidR="000F4A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366D" w14:textId="77777777" w:rsidR="00C67F64" w:rsidRDefault="00C67F64" w:rsidP="00DA1487">
      <w:r>
        <w:separator/>
      </w:r>
    </w:p>
  </w:endnote>
  <w:endnote w:type="continuationSeparator" w:id="0">
    <w:p w14:paraId="04636B5D" w14:textId="77777777" w:rsidR="00C67F64" w:rsidRDefault="00C67F64" w:rsidP="00DA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075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0F45A" w14:textId="3A70A9FA" w:rsidR="00A46C3A" w:rsidRDefault="009C3193">
        <w:pPr>
          <w:pStyle w:val="Footer"/>
          <w:jc w:val="right"/>
        </w:pPr>
        <w:r>
          <w:t>ACCG</w:t>
        </w:r>
        <w:r w:rsidRPr="009C3193">
          <w:t xml:space="preserve"> Administration Funding Plan</w:t>
        </w:r>
        <w:r>
          <w:t xml:space="preserve"> </w:t>
        </w:r>
        <w:r w:rsidR="00274D85">
          <w:t xml:space="preserve"> </w:t>
        </w:r>
        <w:r>
          <w:t xml:space="preserve"> </w:t>
        </w:r>
        <w:r w:rsidR="00A46C3A">
          <w:fldChar w:fldCharType="begin"/>
        </w:r>
        <w:r w:rsidR="00A46C3A">
          <w:instrText xml:space="preserve"> PAGE   \* MERGEFORMAT </w:instrText>
        </w:r>
        <w:r w:rsidR="00A46C3A">
          <w:fldChar w:fldCharType="separate"/>
        </w:r>
        <w:r w:rsidR="00A46C3A">
          <w:rPr>
            <w:noProof/>
          </w:rPr>
          <w:t>2</w:t>
        </w:r>
        <w:r w:rsidR="00A46C3A">
          <w:rPr>
            <w:noProof/>
          </w:rPr>
          <w:fldChar w:fldCharType="end"/>
        </w:r>
      </w:p>
    </w:sdtContent>
  </w:sdt>
  <w:p w14:paraId="43513819" w14:textId="77777777" w:rsidR="00DA1487" w:rsidRDefault="00DA1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98E7" w14:textId="77777777" w:rsidR="00C67F64" w:rsidRDefault="00C67F64" w:rsidP="00DA1487">
      <w:r>
        <w:separator/>
      </w:r>
    </w:p>
  </w:footnote>
  <w:footnote w:type="continuationSeparator" w:id="0">
    <w:p w14:paraId="42CD813F" w14:textId="77777777" w:rsidR="00C67F64" w:rsidRDefault="00C67F64" w:rsidP="00DA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742227"/>
      <w:docPartObj>
        <w:docPartGallery w:val="Watermarks"/>
        <w:docPartUnique/>
      </w:docPartObj>
    </w:sdtPr>
    <w:sdtEndPr/>
    <w:sdtContent>
      <w:p w14:paraId="7F84590D" w14:textId="76200B3E" w:rsidR="00DA1487" w:rsidRDefault="00D9797A">
        <w:pPr>
          <w:pStyle w:val="Header"/>
        </w:pPr>
        <w:r>
          <w:rPr>
            <w:noProof/>
          </w:rPr>
          <w:pict w14:anchorId="7763F0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2B2B"/>
    <w:multiLevelType w:val="hybridMultilevel"/>
    <w:tmpl w:val="B134CBA0"/>
    <w:lvl w:ilvl="0" w:tplc="047C48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73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87"/>
    <w:rsid w:val="00001E01"/>
    <w:rsid w:val="00003A6B"/>
    <w:rsid w:val="000164A5"/>
    <w:rsid w:val="0002428B"/>
    <w:rsid w:val="000307AC"/>
    <w:rsid w:val="00052129"/>
    <w:rsid w:val="000568E3"/>
    <w:rsid w:val="000A7DB2"/>
    <w:rsid w:val="000B1DBC"/>
    <w:rsid w:val="000C573D"/>
    <w:rsid w:val="000E3CD8"/>
    <w:rsid w:val="000F4AD0"/>
    <w:rsid w:val="00112101"/>
    <w:rsid w:val="0013430F"/>
    <w:rsid w:val="00156634"/>
    <w:rsid w:val="001865CD"/>
    <w:rsid w:val="001A0E2B"/>
    <w:rsid w:val="001B675F"/>
    <w:rsid w:val="001C4421"/>
    <w:rsid w:val="001E591B"/>
    <w:rsid w:val="001F3DFF"/>
    <w:rsid w:val="00236B44"/>
    <w:rsid w:val="00243173"/>
    <w:rsid w:val="00255917"/>
    <w:rsid w:val="00274709"/>
    <w:rsid w:val="00274D85"/>
    <w:rsid w:val="002C334C"/>
    <w:rsid w:val="002D6C98"/>
    <w:rsid w:val="002E47E8"/>
    <w:rsid w:val="002F5C9B"/>
    <w:rsid w:val="003006AC"/>
    <w:rsid w:val="0030150A"/>
    <w:rsid w:val="00313B0E"/>
    <w:rsid w:val="00323175"/>
    <w:rsid w:val="0034258C"/>
    <w:rsid w:val="0034353C"/>
    <w:rsid w:val="0036412C"/>
    <w:rsid w:val="00365FE5"/>
    <w:rsid w:val="003A0F27"/>
    <w:rsid w:val="003B2020"/>
    <w:rsid w:val="003B680B"/>
    <w:rsid w:val="003D164C"/>
    <w:rsid w:val="003D3F1F"/>
    <w:rsid w:val="003E1447"/>
    <w:rsid w:val="003E3F02"/>
    <w:rsid w:val="003F26FC"/>
    <w:rsid w:val="00417825"/>
    <w:rsid w:val="0042327A"/>
    <w:rsid w:val="00435FDB"/>
    <w:rsid w:val="0044423A"/>
    <w:rsid w:val="00481E24"/>
    <w:rsid w:val="0048588D"/>
    <w:rsid w:val="004A6342"/>
    <w:rsid w:val="004C3E8C"/>
    <w:rsid w:val="004C48CB"/>
    <w:rsid w:val="004C6A2C"/>
    <w:rsid w:val="004D39AD"/>
    <w:rsid w:val="004F4B22"/>
    <w:rsid w:val="004F5762"/>
    <w:rsid w:val="00514C33"/>
    <w:rsid w:val="0051717D"/>
    <w:rsid w:val="0052042B"/>
    <w:rsid w:val="005204BF"/>
    <w:rsid w:val="0052329B"/>
    <w:rsid w:val="00537C2A"/>
    <w:rsid w:val="00556BCF"/>
    <w:rsid w:val="005A6A93"/>
    <w:rsid w:val="005B1302"/>
    <w:rsid w:val="005B67E9"/>
    <w:rsid w:val="005C7D81"/>
    <w:rsid w:val="005D49A7"/>
    <w:rsid w:val="005D5A48"/>
    <w:rsid w:val="005E27A8"/>
    <w:rsid w:val="00617D8A"/>
    <w:rsid w:val="00663880"/>
    <w:rsid w:val="00672709"/>
    <w:rsid w:val="00696073"/>
    <w:rsid w:val="006A2DD5"/>
    <w:rsid w:val="006A7E67"/>
    <w:rsid w:val="006C483A"/>
    <w:rsid w:val="006E5C4E"/>
    <w:rsid w:val="00731493"/>
    <w:rsid w:val="00736FDA"/>
    <w:rsid w:val="00741886"/>
    <w:rsid w:val="007715AB"/>
    <w:rsid w:val="00774806"/>
    <w:rsid w:val="00787CFC"/>
    <w:rsid w:val="007C64CF"/>
    <w:rsid w:val="007C7186"/>
    <w:rsid w:val="007D5A56"/>
    <w:rsid w:val="007E4A6C"/>
    <w:rsid w:val="007E5BE7"/>
    <w:rsid w:val="007F3D62"/>
    <w:rsid w:val="00800D36"/>
    <w:rsid w:val="008068BD"/>
    <w:rsid w:val="00810F70"/>
    <w:rsid w:val="00832D5D"/>
    <w:rsid w:val="00854880"/>
    <w:rsid w:val="00856214"/>
    <w:rsid w:val="008C7AB9"/>
    <w:rsid w:val="008E06E1"/>
    <w:rsid w:val="008E0CBE"/>
    <w:rsid w:val="008F0763"/>
    <w:rsid w:val="008F2893"/>
    <w:rsid w:val="008F5FBA"/>
    <w:rsid w:val="00900B63"/>
    <w:rsid w:val="00930568"/>
    <w:rsid w:val="00933CA3"/>
    <w:rsid w:val="0094473A"/>
    <w:rsid w:val="009515DE"/>
    <w:rsid w:val="009763D8"/>
    <w:rsid w:val="00995C7F"/>
    <w:rsid w:val="009B0E86"/>
    <w:rsid w:val="009B1FC1"/>
    <w:rsid w:val="009C3193"/>
    <w:rsid w:val="009C6E91"/>
    <w:rsid w:val="009D1AD7"/>
    <w:rsid w:val="009D4CFE"/>
    <w:rsid w:val="009F4672"/>
    <w:rsid w:val="00A07C36"/>
    <w:rsid w:val="00A11A76"/>
    <w:rsid w:val="00A263B2"/>
    <w:rsid w:val="00A352E3"/>
    <w:rsid w:val="00A46C3A"/>
    <w:rsid w:val="00A518B4"/>
    <w:rsid w:val="00A51B1E"/>
    <w:rsid w:val="00A60486"/>
    <w:rsid w:val="00A62CFA"/>
    <w:rsid w:val="00A6615C"/>
    <w:rsid w:val="00A8239B"/>
    <w:rsid w:val="00A87067"/>
    <w:rsid w:val="00A95116"/>
    <w:rsid w:val="00AA0BD1"/>
    <w:rsid w:val="00AA1987"/>
    <w:rsid w:val="00AA3D6D"/>
    <w:rsid w:val="00AA7FCA"/>
    <w:rsid w:val="00AC0CDF"/>
    <w:rsid w:val="00AD7327"/>
    <w:rsid w:val="00B00874"/>
    <w:rsid w:val="00B03F83"/>
    <w:rsid w:val="00B13D35"/>
    <w:rsid w:val="00B34BFD"/>
    <w:rsid w:val="00B361E1"/>
    <w:rsid w:val="00B52695"/>
    <w:rsid w:val="00B67BAA"/>
    <w:rsid w:val="00B75540"/>
    <w:rsid w:val="00B906A9"/>
    <w:rsid w:val="00B92F63"/>
    <w:rsid w:val="00B95158"/>
    <w:rsid w:val="00BA1A67"/>
    <w:rsid w:val="00BC753B"/>
    <w:rsid w:val="00BD5D13"/>
    <w:rsid w:val="00BF5F3B"/>
    <w:rsid w:val="00C02EB0"/>
    <w:rsid w:val="00C12498"/>
    <w:rsid w:val="00C312A1"/>
    <w:rsid w:val="00C37713"/>
    <w:rsid w:val="00C4466E"/>
    <w:rsid w:val="00C45259"/>
    <w:rsid w:val="00C47FF7"/>
    <w:rsid w:val="00C56617"/>
    <w:rsid w:val="00C67F64"/>
    <w:rsid w:val="00C7139B"/>
    <w:rsid w:val="00C75499"/>
    <w:rsid w:val="00CA0486"/>
    <w:rsid w:val="00CA2BB4"/>
    <w:rsid w:val="00CB09C1"/>
    <w:rsid w:val="00CB6E2F"/>
    <w:rsid w:val="00CC53FD"/>
    <w:rsid w:val="00CC710F"/>
    <w:rsid w:val="00CF3D3E"/>
    <w:rsid w:val="00CF7C98"/>
    <w:rsid w:val="00D13F49"/>
    <w:rsid w:val="00D179B4"/>
    <w:rsid w:val="00D2614D"/>
    <w:rsid w:val="00D333E9"/>
    <w:rsid w:val="00D37BCE"/>
    <w:rsid w:val="00D4188C"/>
    <w:rsid w:val="00D45F33"/>
    <w:rsid w:val="00D66C51"/>
    <w:rsid w:val="00D9797A"/>
    <w:rsid w:val="00DA1487"/>
    <w:rsid w:val="00DA6A95"/>
    <w:rsid w:val="00DC4DAC"/>
    <w:rsid w:val="00DE06C0"/>
    <w:rsid w:val="00DE1B3E"/>
    <w:rsid w:val="00E13469"/>
    <w:rsid w:val="00E65986"/>
    <w:rsid w:val="00E6746C"/>
    <w:rsid w:val="00E679B1"/>
    <w:rsid w:val="00E84280"/>
    <w:rsid w:val="00EA1E6D"/>
    <w:rsid w:val="00EB374E"/>
    <w:rsid w:val="00EF25C9"/>
    <w:rsid w:val="00EF5FED"/>
    <w:rsid w:val="00F04530"/>
    <w:rsid w:val="00F32DE5"/>
    <w:rsid w:val="00F34D19"/>
    <w:rsid w:val="00F37DAE"/>
    <w:rsid w:val="00F426D1"/>
    <w:rsid w:val="00F52010"/>
    <w:rsid w:val="00F82BF0"/>
    <w:rsid w:val="00F92658"/>
    <w:rsid w:val="00FA65D2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5D2"/>
  <w15:chartTrackingRefBased/>
  <w15:docId w15:val="{341BC04B-9E04-43C4-819F-634D9690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87"/>
    <w:pPr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A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A1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48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qFormat/>
    <w:rsid w:val="00DA1487"/>
    <w:rPr>
      <w:b/>
      <w:bCs/>
    </w:rPr>
  </w:style>
  <w:style w:type="character" w:styleId="Hyperlink">
    <w:name w:val="Hyperlink"/>
    <w:basedOn w:val="DefaultParagraphFont"/>
    <w:uiPriority w:val="99"/>
    <w:unhideWhenUsed/>
    <w:rsid w:val="00DA148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1487"/>
    <w:pPr>
      <w:tabs>
        <w:tab w:val="left" w:pos="660"/>
        <w:tab w:val="right" w:leader="dot" w:pos="863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1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487"/>
    <w:rPr>
      <w:rFonts w:eastAsia="Times New Roman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1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487"/>
    <w:rPr>
      <w:rFonts w:eastAsia="Times New Roman" w:cs="Times New Roman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88C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88C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3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0763"/>
    <w:pPr>
      <w:spacing w:after="0" w:line="240" w:lineRule="auto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97C9-A62A-42D3-B4A6-81652455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Megan Layhee</cp:lastModifiedBy>
  <cp:revision>17</cp:revision>
  <dcterms:created xsi:type="dcterms:W3CDTF">2025-11-13T20:28:00Z</dcterms:created>
  <dcterms:modified xsi:type="dcterms:W3CDTF">2025-11-13T21:29:00Z</dcterms:modified>
</cp:coreProperties>
</file>